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5FF" w:rsidRDefault="009B65FF" w:rsidP="00433E96">
      <w:pPr>
        <w:spacing w:after="0" w:line="240" w:lineRule="auto"/>
        <w:rPr>
          <w:rFonts w:ascii="Times New Roman" w:hAnsi="Times New Roman" w:cs="Times New Roman"/>
          <w:b/>
          <w:sz w:val="48"/>
          <w:szCs w:val="48"/>
          <w:lang w:eastAsia="pl-PL"/>
        </w:rPr>
      </w:pPr>
      <w:bookmarkStart w:id="0" w:name="_GoBack"/>
      <w:bookmarkEnd w:id="0"/>
      <w:r w:rsidRPr="009B65FF">
        <w:rPr>
          <w:lang w:eastAsia="pl-PL"/>
        </w:rPr>
        <w:t> </w:t>
      </w:r>
      <w:r w:rsidRPr="00433E96">
        <w:rPr>
          <w:rFonts w:ascii="Times New Roman" w:hAnsi="Times New Roman" w:cs="Times New Roman"/>
          <w:b/>
          <w:sz w:val="48"/>
          <w:szCs w:val="48"/>
          <w:lang w:eastAsia="pl-PL"/>
        </w:rPr>
        <w:t>D - 02.01.01</w:t>
      </w:r>
    </w:p>
    <w:p w:rsidR="00433E96" w:rsidRPr="00433E96" w:rsidRDefault="00433E96" w:rsidP="00433E96">
      <w:pPr>
        <w:spacing w:after="0" w:line="240" w:lineRule="auto"/>
        <w:rPr>
          <w:sz w:val="20"/>
          <w:szCs w:val="20"/>
          <w:lang w:eastAsia="pl-PL"/>
        </w:rPr>
      </w:pPr>
    </w:p>
    <w:p w:rsidR="009B65FF" w:rsidRPr="00433E96" w:rsidRDefault="009B65FF" w:rsidP="00433E96">
      <w:pPr>
        <w:spacing w:after="0" w:line="240" w:lineRule="auto"/>
        <w:rPr>
          <w:rFonts w:ascii="Times New Roman" w:hAnsi="Times New Roman" w:cs="Times New Roman"/>
          <w:b/>
          <w:sz w:val="36"/>
          <w:szCs w:val="36"/>
          <w:lang w:eastAsia="pl-PL"/>
        </w:rPr>
      </w:pPr>
      <w:r w:rsidRPr="00433E96">
        <w:rPr>
          <w:rFonts w:ascii="Times New Roman" w:hAnsi="Times New Roman" w:cs="Times New Roman"/>
          <w:b/>
          <w:sz w:val="36"/>
          <w:szCs w:val="36"/>
          <w:lang w:eastAsia="pl-PL"/>
        </w:rPr>
        <w:t>WYKONANIE  WYKOPÓWW  GRUNTACH  </w:t>
      </w:r>
    </w:p>
    <w:p w:rsidR="009B65FF" w:rsidRPr="00433E96" w:rsidRDefault="009B65FF" w:rsidP="00433E96">
      <w:pPr>
        <w:spacing w:after="0" w:line="240" w:lineRule="auto"/>
        <w:rPr>
          <w:rFonts w:ascii="Times New Roman" w:hAnsi="Times New Roman" w:cs="Times New Roman"/>
          <w:b/>
          <w:sz w:val="36"/>
          <w:szCs w:val="36"/>
          <w:lang w:eastAsia="pl-PL"/>
        </w:rPr>
      </w:pPr>
      <w:r w:rsidRPr="00433E96">
        <w:rPr>
          <w:rFonts w:ascii="Times New Roman" w:hAnsi="Times New Roman" w:cs="Times New Roman"/>
          <w:b/>
          <w:sz w:val="36"/>
          <w:szCs w:val="36"/>
          <w:lang w:eastAsia="pl-PL"/>
        </w:rPr>
        <w:t>NIESKALISTYCH</w:t>
      </w:r>
    </w:p>
    <w:p w:rsidR="009B65FF" w:rsidRDefault="009B65FF" w:rsidP="00433E96">
      <w:pPr>
        <w:rPr>
          <w:lang w:eastAsia="pl-PL"/>
        </w:rPr>
      </w:pPr>
    </w:p>
    <w:p w:rsidR="00433E96" w:rsidRPr="009B65FF" w:rsidRDefault="00433E96" w:rsidP="00433E96">
      <w:pPr>
        <w:rPr>
          <w:lang w:eastAsia="pl-PL"/>
        </w:rPr>
      </w:pP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 w:name="_Toc404150096"/>
      <w:bookmarkStart w:id="2" w:name="_Toc407161213"/>
      <w:bookmarkStart w:id="3" w:name="_1._WSTĘP_1"/>
      <w:bookmarkStart w:id="4" w:name="_Toc418994925"/>
      <w:bookmarkStart w:id="5" w:name="_Toc418996332"/>
      <w:bookmarkStart w:id="6" w:name="_Toc418996701"/>
      <w:bookmarkStart w:id="7" w:name="_Toc418997088"/>
      <w:bookmarkStart w:id="8" w:name="_Toc418998498"/>
      <w:bookmarkStart w:id="9" w:name="_Toc418998854"/>
      <w:bookmarkStart w:id="10" w:name="_Toc419000099"/>
      <w:bookmarkEnd w:id="1"/>
      <w:bookmarkEnd w:id="2"/>
      <w:bookmarkEnd w:id="3"/>
      <w:r w:rsidRPr="00433E96">
        <w:rPr>
          <w:rFonts w:ascii="Times New Roman" w:eastAsia="Times New Roman" w:hAnsi="Times New Roman" w:cs="Times New Roman"/>
          <w:b/>
          <w:caps/>
          <w:kern w:val="28"/>
          <w:sz w:val="20"/>
          <w:szCs w:val="20"/>
          <w:lang w:eastAsia="pl-PL"/>
        </w:rPr>
        <w:t>1. WSTĘP</w:t>
      </w:r>
      <w:bookmarkEnd w:id="4"/>
      <w:bookmarkEnd w:id="5"/>
      <w:bookmarkEnd w:id="6"/>
      <w:bookmarkEnd w:id="7"/>
      <w:bookmarkEnd w:id="8"/>
      <w:bookmarkEnd w:id="9"/>
      <w:bookmarkEnd w:id="10"/>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 w:name="_Toc407161214"/>
      <w:r>
        <w:rPr>
          <w:rFonts w:ascii="Times New Roman" w:eastAsia="Times New Roman" w:hAnsi="Times New Roman" w:cs="Times New Roman"/>
          <w:b/>
          <w:sz w:val="20"/>
          <w:szCs w:val="20"/>
          <w:lang w:eastAsia="pl-PL"/>
        </w:rPr>
        <w:t>1.1. Przedmiot S</w:t>
      </w:r>
      <w:r w:rsidR="00433E96" w:rsidRPr="00433E96">
        <w:rPr>
          <w:rFonts w:ascii="Times New Roman" w:eastAsia="Times New Roman" w:hAnsi="Times New Roman" w:cs="Times New Roman"/>
          <w:b/>
          <w:sz w:val="20"/>
          <w:szCs w:val="20"/>
          <w:lang w:eastAsia="pl-PL"/>
        </w:rPr>
        <w:t>ST</w:t>
      </w:r>
      <w:bookmarkEnd w:id="11"/>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 xml:space="preserve">Przedmiotem niniejszej </w:t>
      </w:r>
      <w:r w:rsidR="006F093B">
        <w:rPr>
          <w:rFonts w:ascii="Times New Roman" w:eastAsia="Times New Roman" w:hAnsi="Times New Roman" w:cs="Times New Roman"/>
          <w:sz w:val="20"/>
          <w:szCs w:val="20"/>
          <w:lang w:eastAsia="pl-PL"/>
        </w:rPr>
        <w:t>szczegółowej specyfikacji technicznej (S</w:t>
      </w:r>
      <w:r w:rsidRPr="00433E96">
        <w:rPr>
          <w:rFonts w:ascii="Times New Roman" w:eastAsia="Times New Roman" w:hAnsi="Times New Roman" w:cs="Times New Roman"/>
          <w:sz w:val="20"/>
          <w:szCs w:val="20"/>
          <w:lang w:eastAsia="pl-PL"/>
        </w:rPr>
        <w:t>ST) są wymagania dotyczące wykonania i odbioru wykopów w gruntach nieskalistych</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2" w:name="_Toc407161216"/>
      <w:r>
        <w:rPr>
          <w:rFonts w:ascii="Times New Roman" w:eastAsia="Times New Roman" w:hAnsi="Times New Roman" w:cs="Times New Roman"/>
          <w:b/>
          <w:sz w:val="20"/>
          <w:szCs w:val="20"/>
          <w:lang w:eastAsia="pl-PL"/>
        </w:rPr>
        <w:t>1.2. Zakres robót objętych S</w:t>
      </w:r>
      <w:r w:rsidR="00433E96" w:rsidRPr="00433E96">
        <w:rPr>
          <w:rFonts w:ascii="Times New Roman" w:eastAsia="Times New Roman" w:hAnsi="Times New Roman" w:cs="Times New Roman"/>
          <w:b/>
          <w:sz w:val="20"/>
          <w:szCs w:val="20"/>
          <w:lang w:eastAsia="pl-PL"/>
        </w:rPr>
        <w:t>ST</w:t>
      </w:r>
      <w:bookmarkEnd w:id="12"/>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Ustalenia zawarte w niniejszej specyfikacji dotyczą zasad prowadzenia robót ziemnych w czasie budowy lub modernizacji dróg i obejmują wykonanie wykopów w gruntach nieskalistych.</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3" w:name="_Toc407161217"/>
      <w:r>
        <w:rPr>
          <w:rFonts w:ascii="Times New Roman" w:eastAsia="Times New Roman" w:hAnsi="Times New Roman" w:cs="Times New Roman"/>
          <w:b/>
          <w:sz w:val="20"/>
          <w:szCs w:val="20"/>
          <w:lang w:eastAsia="pl-PL"/>
        </w:rPr>
        <w:t>1.3</w:t>
      </w:r>
      <w:r w:rsidR="00433E96" w:rsidRPr="00433E96">
        <w:rPr>
          <w:rFonts w:ascii="Times New Roman" w:eastAsia="Times New Roman" w:hAnsi="Times New Roman" w:cs="Times New Roman"/>
          <w:b/>
          <w:sz w:val="20"/>
          <w:szCs w:val="20"/>
          <w:lang w:eastAsia="pl-PL"/>
        </w:rPr>
        <w:t>. Określenia podstawowe</w:t>
      </w:r>
      <w:bookmarkEnd w:id="13"/>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Podstawowe określenia zostały podane w OST D-02.00.01 pkt 1.4.</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4" w:name="_Toc407161218"/>
      <w:r>
        <w:rPr>
          <w:rFonts w:ascii="Times New Roman" w:eastAsia="Times New Roman" w:hAnsi="Times New Roman" w:cs="Times New Roman"/>
          <w:b/>
          <w:sz w:val="20"/>
          <w:szCs w:val="20"/>
          <w:lang w:eastAsia="pl-PL"/>
        </w:rPr>
        <w:t>1.4</w:t>
      </w:r>
      <w:r w:rsidR="00433E96" w:rsidRPr="00433E96">
        <w:rPr>
          <w:rFonts w:ascii="Times New Roman" w:eastAsia="Times New Roman" w:hAnsi="Times New Roman" w:cs="Times New Roman"/>
          <w:b/>
          <w:sz w:val="20"/>
          <w:szCs w:val="20"/>
          <w:lang w:eastAsia="pl-PL"/>
        </w:rPr>
        <w:t>. Ogólne wymagania dotyczące robót</w:t>
      </w:r>
      <w:bookmarkEnd w:id="14"/>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dotyczące robót podano w OST D-02.00.01 pkt 1.5.</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r w:rsidRPr="00433E96">
        <w:rPr>
          <w:rFonts w:ascii="Times New Roman" w:eastAsia="Times New Roman" w:hAnsi="Times New Roman" w:cs="Times New Roman"/>
          <w:b/>
          <w:caps/>
          <w:kern w:val="28"/>
          <w:sz w:val="20"/>
          <w:szCs w:val="20"/>
          <w:lang w:eastAsia="pl-PL"/>
        </w:rPr>
        <w:t>2. materiały (grunty)</w:t>
      </w:r>
      <w:bookmarkEnd w:id="15"/>
      <w:bookmarkEnd w:id="16"/>
      <w:bookmarkEnd w:id="17"/>
      <w:bookmarkEnd w:id="18"/>
      <w:bookmarkEnd w:id="19"/>
      <w:bookmarkEnd w:id="20"/>
      <w:bookmarkEnd w:id="21"/>
      <w:bookmarkEnd w:id="22"/>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Materiał występujący w podłożu wykopu jest gruntem rodzimym, który będzie stanowił podłoże nawierzchni. Zgodnie z Katalogiem typowych konstrukcji nawierzchni podatnych i półsztywnych [12] powinien charakteryzować się grupą nośności G</w:t>
      </w:r>
      <w:r w:rsidRPr="00433E96">
        <w:rPr>
          <w:rFonts w:ascii="Times New Roman" w:eastAsia="Times New Roman" w:hAnsi="Times New Roman" w:cs="Times New Roman"/>
          <w:sz w:val="20"/>
          <w:szCs w:val="20"/>
          <w:vertAlign w:val="subscript"/>
          <w:lang w:eastAsia="pl-PL"/>
        </w:rPr>
        <w:t>1</w:t>
      </w:r>
      <w:r w:rsidRPr="00433E96">
        <w:rPr>
          <w:rFonts w:ascii="Times New Roman" w:eastAsia="Times New Roman" w:hAnsi="Times New Roman" w:cs="Times New Roman"/>
          <w:sz w:val="20"/>
          <w:szCs w:val="20"/>
          <w:lang w:eastAsia="pl-PL"/>
        </w:rPr>
        <w:t>.</w:t>
      </w:r>
      <w:r w:rsidRPr="00433E96">
        <w:rPr>
          <w:rFonts w:ascii="Times New Roman" w:eastAsia="Times New Roman" w:hAnsi="Times New Roman" w:cs="Times New Roman"/>
          <w:sz w:val="20"/>
          <w:szCs w:val="20"/>
          <w:vertAlign w:val="subscript"/>
          <w:lang w:eastAsia="pl-PL"/>
        </w:rPr>
        <w:t xml:space="preserve"> </w:t>
      </w:r>
      <w:r w:rsidRPr="00433E96">
        <w:rPr>
          <w:rFonts w:ascii="Times New Roman" w:eastAsia="Times New Roman" w:hAnsi="Times New Roman" w:cs="Times New Roman"/>
          <w:sz w:val="20"/>
          <w:szCs w:val="20"/>
          <w:lang w:eastAsia="pl-PL"/>
        </w:rPr>
        <w:t xml:space="preserve"> Gdy podłoże nawierzchni zaklasyfikowano do innej grupy nośności, należy podłoże doprowadzić do grupy nośności G</w:t>
      </w:r>
      <w:r w:rsidRPr="00433E96">
        <w:rPr>
          <w:rFonts w:ascii="Times New Roman" w:eastAsia="Times New Roman" w:hAnsi="Times New Roman" w:cs="Times New Roman"/>
          <w:sz w:val="20"/>
          <w:szCs w:val="20"/>
          <w:vertAlign w:val="subscript"/>
          <w:lang w:eastAsia="pl-PL"/>
        </w:rPr>
        <w:t>1</w:t>
      </w:r>
      <w:r w:rsidRPr="00433E96">
        <w:rPr>
          <w:rFonts w:ascii="Times New Roman" w:eastAsia="Times New Roman" w:hAnsi="Times New Roman" w:cs="Times New Roman"/>
          <w:sz w:val="20"/>
          <w:szCs w:val="20"/>
          <w:lang w:eastAsia="pl-PL"/>
        </w:rPr>
        <w:t xml:space="preserve"> zgodnie z dokumentacja projektową i SST.</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3" w:name="_Toc407161220"/>
      <w:bookmarkStart w:id="24" w:name="_Toc418994927"/>
      <w:bookmarkStart w:id="25" w:name="_Toc418996334"/>
      <w:bookmarkStart w:id="26" w:name="_Toc418996703"/>
      <w:bookmarkStart w:id="27" w:name="_Toc418997090"/>
      <w:bookmarkStart w:id="28" w:name="_Toc418998500"/>
      <w:bookmarkStart w:id="29" w:name="_Toc418998856"/>
      <w:bookmarkStart w:id="30" w:name="_Toc419000101"/>
      <w:r w:rsidRPr="00433E96">
        <w:rPr>
          <w:rFonts w:ascii="Times New Roman" w:eastAsia="Times New Roman" w:hAnsi="Times New Roman" w:cs="Times New Roman"/>
          <w:b/>
          <w:caps/>
          <w:kern w:val="28"/>
          <w:sz w:val="20"/>
          <w:szCs w:val="20"/>
          <w:lang w:eastAsia="pl-PL"/>
        </w:rPr>
        <w:t>3. sprzęt</w:t>
      </w:r>
      <w:bookmarkEnd w:id="23"/>
      <w:bookmarkEnd w:id="24"/>
      <w:bookmarkEnd w:id="25"/>
      <w:bookmarkEnd w:id="26"/>
      <w:bookmarkEnd w:id="27"/>
      <w:bookmarkEnd w:id="28"/>
      <w:bookmarkEnd w:id="29"/>
      <w:bookmarkEnd w:id="30"/>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i ustalenia dotyczące sprzętu określono w OST  D-02.00.01 pkt 3.</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1" w:name="_Toc407161221"/>
      <w:bookmarkStart w:id="32" w:name="_Toc418994928"/>
      <w:bookmarkStart w:id="33" w:name="_Toc418996335"/>
      <w:bookmarkStart w:id="34" w:name="_Toc418996704"/>
      <w:bookmarkStart w:id="35" w:name="_Toc418997091"/>
      <w:bookmarkStart w:id="36" w:name="_Toc418998501"/>
      <w:bookmarkStart w:id="37" w:name="_Toc418998857"/>
      <w:bookmarkStart w:id="38" w:name="_Toc419000102"/>
      <w:r w:rsidRPr="00433E96">
        <w:rPr>
          <w:rFonts w:ascii="Times New Roman" w:eastAsia="Times New Roman" w:hAnsi="Times New Roman" w:cs="Times New Roman"/>
          <w:b/>
          <w:caps/>
          <w:kern w:val="28"/>
          <w:sz w:val="20"/>
          <w:szCs w:val="20"/>
          <w:lang w:eastAsia="pl-PL"/>
        </w:rPr>
        <w:t>4. transport</w:t>
      </w:r>
      <w:bookmarkEnd w:id="31"/>
      <w:bookmarkEnd w:id="32"/>
      <w:bookmarkEnd w:id="33"/>
      <w:bookmarkEnd w:id="34"/>
      <w:bookmarkEnd w:id="35"/>
      <w:bookmarkEnd w:id="36"/>
      <w:bookmarkEnd w:id="37"/>
      <w:bookmarkEnd w:id="38"/>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i ustalenia dotycz</w:t>
      </w:r>
      <w:r>
        <w:rPr>
          <w:rFonts w:ascii="Times New Roman" w:eastAsia="Times New Roman" w:hAnsi="Times New Roman" w:cs="Times New Roman"/>
          <w:sz w:val="20"/>
          <w:szCs w:val="20"/>
          <w:lang w:eastAsia="pl-PL"/>
        </w:rPr>
        <w:t xml:space="preserve">ące transportu określono w OST </w:t>
      </w:r>
      <w:r w:rsidRPr="00433E96">
        <w:rPr>
          <w:rFonts w:ascii="Times New Roman" w:eastAsia="Times New Roman" w:hAnsi="Times New Roman" w:cs="Times New Roman"/>
          <w:sz w:val="20"/>
          <w:szCs w:val="20"/>
          <w:lang w:eastAsia="pl-PL"/>
        </w:rPr>
        <w:t xml:space="preserve"> D-02.00.01 pkt 4.</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9" w:name="_Toc407161222"/>
      <w:bookmarkStart w:id="40" w:name="_Toc418994929"/>
      <w:bookmarkStart w:id="41" w:name="_Toc418996336"/>
      <w:bookmarkStart w:id="42" w:name="_Toc418996705"/>
      <w:bookmarkStart w:id="43" w:name="_Toc418997092"/>
      <w:bookmarkStart w:id="44" w:name="_Toc418998502"/>
      <w:bookmarkStart w:id="45" w:name="_Toc418998858"/>
      <w:bookmarkStart w:id="46" w:name="_Toc419000103"/>
      <w:r w:rsidRPr="00433E96">
        <w:rPr>
          <w:rFonts w:ascii="Times New Roman" w:eastAsia="Times New Roman" w:hAnsi="Times New Roman" w:cs="Times New Roman"/>
          <w:b/>
          <w:caps/>
          <w:kern w:val="28"/>
          <w:sz w:val="20"/>
          <w:szCs w:val="20"/>
          <w:lang w:eastAsia="pl-PL"/>
        </w:rPr>
        <w:t>5. wykonanie robót</w:t>
      </w:r>
      <w:bookmarkEnd w:id="39"/>
      <w:bookmarkEnd w:id="40"/>
      <w:bookmarkEnd w:id="41"/>
      <w:bookmarkEnd w:id="42"/>
      <w:bookmarkEnd w:id="43"/>
      <w:bookmarkEnd w:id="44"/>
      <w:bookmarkEnd w:id="45"/>
      <w:bookmarkEnd w:id="46"/>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7" w:name="_Toc407161223"/>
      <w:r w:rsidRPr="00433E96">
        <w:rPr>
          <w:rFonts w:ascii="Times New Roman" w:eastAsia="Times New Roman" w:hAnsi="Times New Roman" w:cs="Times New Roman"/>
          <w:b/>
          <w:sz w:val="20"/>
          <w:szCs w:val="20"/>
          <w:lang w:eastAsia="pl-PL"/>
        </w:rPr>
        <w:t>5.1. Zasady prowadzenia robót</w:t>
      </w:r>
      <w:bookmarkEnd w:id="47"/>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prowadzenia robót podano w OST D-02.00.01 pkt 5.</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8" w:name="_Toc407161224"/>
      <w:r w:rsidRPr="00433E96">
        <w:rPr>
          <w:rFonts w:ascii="Times New Roman" w:eastAsia="Times New Roman" w:hAnsi="Times New Roman" w:cs="Times New Roman"/>
          <w:b/>
          <w:sz w:val="20"/>
          <w:szCs w:val="20"/>
          <w:lang w:eastAsia="pl-PL"/>
        </w:rPr>
        <w:t>5.2. Wymagania dotyczące zagęszczenia</w:t>
      </w:r>
      <w:bookmarkEnd w:id="48"/>
      <w:r w:rsidRPr="00433E96">
        <w:rPr>
          <w:rFonts w:ascii="Times New Roman" w:eastAsia="Times New Roman" w:hAnsi="Times New Roman" w:cs="Times New Roman"/>
          <w:b/>
          <w:sz w:val="20"/>
          <w:szCs w:val="20"/>
          <w:lang w:eastAsia="pl-PL"/>
        </w:rPr>
        <w:t xml:space="preserve"> i nośności gruntu</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Zagęszczenie gruntu w wykopach i miejscach zerowych robót ziemnych powinno spełniać wymagania, dotyczące minimalnej wartości wskaźnika zagęszczenia (</w:t>
      </w:r>
      <w:proofErr w:type="spellStart"/>
      <w:r w:rsidRPr="00433E96">
        <w:rPr>
          <w:rFonts w:ascii="Times New Roman" w:eastAsia="Times New Roman" w:hAnsi="Times New Roman" w:cs="Times New Roman"/>
          <w:sz w:val="20"/>
          <w:szCs w:val="20"/>
          <w:lang w:eastAsia="pl-PL"/>
        </w:rPr>
        <w:t>I</w:t>
      </w:r>
      <w:r w:rsidRPr="00433E96">
        <w:rPr>
          <w:rFonts w:ascii="Times New Roman" w:eastAsia="Times New Roman" w:hAnsi="Times New Roman" w:cs="Times New Roman"/>
          <w:sz w:val="20"/>
          <w:szCs w:val="20"/>
          <w:vertAlign w:val="subscript"/>
          <w:lang w:eastAsia="pl-PL"/>
        </w:rPr>
        <w:t>s</w:t>
      </w:r>
      <w:proofErr w:type="spellEnd"/>
      <w:r w:rsidRPr="00433E96">
        <w:rPr>
          <w:rFonts w:ascii="Times New Roman" w:eastAsia="Times New Roman" w:hAnsi="Times New Roman" w:cs="Times New Roman"/>
          <w:sz w:val="20"/>
          <w:szCs w:val="20"/>
          <w:lang w:eastAsia="pl-PL"/>
        </w:rPr>
        <w:t>), podanego w tablicy 1.</w:t>
      </w:r>
    </w:p>
    <w:p w:rsidR="006F093B" w:rsidRDefault="006F093B"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p>
    <w:p w:rsidR="006F093B" w:rsidRDefault="006F093B"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p>
    <w:p w:rsidR="00433E96" w:rsidRPr="00433E96" w:rsidRDefault="00433E96"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lastRenderedPageBreak/>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501"/>
      </w:tblGrid>
      <w:tr w:rsidR="00783752" w:rsidRPr="00433E96" w:rsidTr="0061552B">
        <w:trPr>
          <w:gridAfter w:val="1"/>
          <w:wAfter w:w="1501" w:type="dxa"/>
        </w:trPr>
        <w:tc>
          <w:tcPr>
            <w:tcW w:w="2905" w:type="dxa"/>
            <w:tcBorders>
              <w:top w:val="single" w:sz="6" w:space="0" w:color="auto"/>
              <w:left w:val="single" w:sz="6" w:space="0" w:color="auto"/>
            </w:tcBorders>
          </w:tcPr>
          <w:p w:rsidR="00783752" w:rsidRPr="00433E96" w:rsidRDefault="00783752"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r w:rsidR="00783752" w:rsidRPr="00433E96" w:rsidTr="0061552B">
        <w:trPr>
          <w:gridAfter w:val="1"/>
          <w:wAfter w:w="1501" w:type="dxa"/>
        </w:trPr>
        <w:tc>
          <w:tcPr>
            <w:tcW w:w="2905" w:type="dxa"/>
            <w:tcBorders>
              <w:lef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Strefa</w:t>
            </w:r>
          </w:p>
        </w:tc>
      </w:tr>
      <w:tr w:rsidR="00783752" w:rsidRPr="00433E96" w:rsidTr="0061552B">
        <w:tc>
          <w:tcPr>
            <w:tcW w:w="2905" w:type="dxa"/>
            <w:tcBorders>
              <w:left w:val="single" w:sz="6" w:space="0" w:color="auto"/>
              <w:bottom w:val="doub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korpusu</w:t>
            </w:r>
          </w:p>
        </w:tc>
        <w:tc>
          <w:tcPr>
            <w:tcW w:w="1501" w:type="dxa"/>
            <w:tcBorders>
              <w:top w:val="single" w:sz="6" w:space="0" w:color="auto"/>
              <w:left w:val="single" w:sz="6" w:space="0" w:color="auto"/>
              <w:bottom w:val="double" w:sz="6" w:space="0" w:color="auto"/>
              <w:righ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kategoria ruchu KR1-KR2</w:t>
            </w:r>
          </w:p>
        </w:tc>
      </w:tr>
      <w:tr w:rsidR="00783752" w:rsidRPr="00433E96" w:rsidTr="0061552B">
        <w:tc>
          <w:tcPr>
            <w:tcW w:w="2905" w:type="dxa"/>
            <w:tcBorders>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Górna warstwa o grubości 20 cm</w:t>
            </w:r>
          </w:p>
        </w:tc>
        <w:tc>
          <w:tcPr>
            <w:tcW w:w="1501" w:type="dxa"/>
            <w:tcBorders>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1,00</w:t>
            </w:r>
          </w:p>
        </w:tc>
      </w:tr>
      <w:tr w:rsidR="00783752" w:rsidRPr="00433E96" w:rsidTr="0061552B">
        <w:tc>
          <w:tcPr>
            <w:tcW w:w="2905" w:type="dxa"/>
            <w:tcBorders>
              <w:top w:val="single" w:sz="6" w:space="0" w:color="auto"/>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Na głębokości od 20 do 50 cm od powierzchni robót ziemnych</w:t>
            </w:r>
          </w:p>
        </w:tc>
        <w:tc>
          <w:tcPr>
            <w:tcW w:w="1501" w:type="dxa"/>
            <w:tcBorders>
              <w:top w:val="single" w:sz="6" w:space="0" w:color="auto"/>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0,97</w:t>
            </w:r>
          </w:p>
        </w:tc>
      </w:tr>
    </w:tbl>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 xml:space="preserve">Jeżeli grunty rodzime w wykopach i miejscach zerowych nie spełniają wymaganego wskaźnika zagęszczenia, to przed ułożeniem konstrukcji nawierzchni należy je dogęścić do wartości </w:t>
      </w:r>
      <w:proofErr w:type="spellStart"/>
      <w:r w:rsidRPr="00433E96">
        <w:rPr>
          <w:rFonts w:ascii="Times New Roman" w:eastAsia="Times New Roman" w:hAnsi="Times New Roman" w:cs="Times New Roman"/>
          <w:sz w:val="20"/>
          <w:szCs w:val="20"/>
          <w:lang w:eastAsia="pl-PL"/>
        </w:rPr>
        <w:t>I</w:t>
      </w:r>
      <w:r w:rsidRPr="00433E96">
        <w:rPr>
          <w:rFonts w:ascii="Times New Roman" w:eastAsia="Times New Roman" w:hAnsi="Times New Roman" w:cs="Times New Roman"/>
          <w:sz w:val="20"/>
          <w:szCs w:val="20"/>
          <w:vertAlign w:val="subscript"/>
          <w:lang w:eastAsia="pl-PL"/>
        </w:rPr>
        <w:t>s</w:t>
      </w:r>
      <w:proofErr w:type="spellEnd"/>
      <w:r w:rsidRPr="00433E96">
        <w:rPr>
          <w:rFonts w:ascii="Times New Roman" w:eastAsia="Times New Roman" w:hAnsi="Times New Roman" w:cs="Times New Roman"/>
          <w:sz w:val="20"/>
          <w:szCs w:val="20"/>
          <w:lang w:eastAsia="pl-PL"/>
        </w:rPr>
        <w:t>, podanych w tablicy 1.</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Dodatkowo można sprawdzić nośność warstwy gruntu na powierzchni robót ziemnych na podstawie pomiaru wtórnego modułu odkształcenia E</w:t>
      </w:r>
      <w:r w:rsidRPr="00433E96">
        <w:rPr>
          <w:rFonts w:ascii="Times New Roman" w:eastAsia="Times New Roman" w:hAnsi="Times New Roman" w:cs="Times New Roman"/>
          <w:sz w:val="20"/>
          <w:szCs w:val="20"/>
          <w:vertAlign w:val="subscript"/>
          <w:lang w:eastAsia="pl-PL"/>
        </w:rPr>
        <w:t>2</w:t>
      </w:r>
      <w:r w:rsidRPr="00433E96">
        <w:rPr>
          <w:rFonts w:ascii="Times New Roman" w:eastAsia="Times New Roman" w:hAnsi="Times New Roman" w:cs="Times New Roman"/>
          <w:sz w:val="20"/>
          <w:szCs w:val="20"/>
          <w:lang w:eastAsia="pl-PL"/>
        </w:rPr>
        <w:t xml:space="preserve"> zgodnie z PN-02205:1998 [4] rysunek 4.</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9" w:name="_Toc407161225"/>
      <w:r w:rsidRPr="00433E96">
        <w:rPr>
          <w:rFonts w:ascii="Times New Roman" w:eastAsia="Times New Roman" w:hAnsi="Times New Roman" w:cs="Times New Roman"/>
          <w:b/>
          <w:sz w:val="20"/>
          <w:szCs w:val="20"/>
          <w:lang w:eastAsia="pl-PL"/>
        </w:rPr>
        <w:t>5.3. Ruch budowlany</w:t>
      </w:r>
      <w:bookmarkEnd w:id="49"/>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Nie należy dopuszczać ruchu budowlanego po dnie wykopu o ile grubość warstwy gruntu (nadkładu) powyżej rzędnych robót ziemnych jest mniejsza niż 0,3 m.</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Naprawa uszkodzeń powierzchni robót ziemnych, wynikających z niedotrzymania podanych powyżej warunków obciąża Wykonawcę robót ziemnych.</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0" w:name="_Toc407161226"/>
      <w:bookmarkStart w:id="51" w:name="_Toc418994930"/>
      <w:bookmarkStart w:id="52" w:name="_Toc418996337"/>
      <w:bookmarkStart w:id="53" w:name="_Toc418996706"/>
      <w:bookmarkStart w:id="54" w:name="_Toc418997093"/>
      <w:bookmarkStart w:id="55" w:name="_Toc418998503"/>
      <w:bookmarkStart w:id="56" w:name="_Toc418998859"/>
      <w:bookmarkStart w:id="57" w:name="_Toc419000104"/>
      <w:r w:rsidRPr="00433E96">
        <w:rPr>
          <w:rFonts w:ascii="Times New Roman" w:eastAsia="Times New Roman" w:hAnsi="Times New Roman" w:cs="Times New Roman"/>
          <w:b/>
          <w:caps/>
          <w:kern w:val="28"/>
          <w:sz w:val="20"/>
          <w:szCs w:val="20"/>
          <w:lang w:eastAsia="pl-PL"/>
        </w:rPr>
        <w:t>6. kontrola jakości robót</w:t>
      </w:r>
      <w:bookmarkEnd w:id="50"/>
      <w:bookmarkEnd w:id="51"/>
      <w:bookmarkEnd w:id="52"/>
      <w:bookmarkEnd w:id="53"/>
      <w:bookmarkEnd w:id="54"/>
      <w:bookmarkEnd w:id="55"/>
      <w:bookmarkEnd w:id="56"/>
      <w:bookmarkEnd w:id="57"/>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8" w:name="_Toc407161227"/>
      <w:r w:rsidRPr="00433E96">
        <w:rPr>
          <w:rFonts w:ascii="Times New Roman" w:eastAsia="Times New Roman" w:hAnsi="Times New Roman" w:cs="Times New Roman"/>
          <w:b/>
          <w:sz w:val="20"/>
          <w:szCs w:val="20"/>
          <w:lang w:eastAsia="pl-PL"/>
        </w:rPr>
        <w:t>6.1. Ogólne zasady kontroli jakości robót</w:t>
      </w:r>
      <w:bookmarkEnd w:id="58"/>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kontroli jakości robót podano w OST D-02.00.01 pkt 6.</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9" w:name="_Toc407161228"/>
      <w:r w:rsidRPr="00433E96">
        <w:rPr>
          <w:rFonts w:ascii="Times New Roman" w:eastAsia="Times New Roman" w:hAnsi="Times New Roman" w:cs="Times New Roman"/>
          <w:b/>
          <w:sz w:val="20"/>
          <w:szCs w:val="20"/>
          <w:lang w:eastAsia="pl-PL"/>
        </w:rPr>
        <w:t>6.2. Kontrola wykonania wykopów</w:t>
      </w:r>
      <w:bookmarkEnd w:id="59"/>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Kontrola wykonania wykopów polega na sprawdzeniu zgodności z wymaganiami określonymi w dokumentacji projektowej i SST. W czasie kontroli szczególną uwagę należy zwrócić na:</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sposób odspajania gruntów nie pogarszający ich właściwości,</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zapewnienie stateczności skarp,</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odwodnienie wykopów w czasie wykonywania robót i po ich zakończeniu,</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dokładność wykonania wykopów (usytuowanie i wykończenie),</w:t>
      </w:r>
    </w:p>
    <w:p w:rsidR="00433E96" w:rsidRPr="00433E96" w:rsidRDefault="00433E96" w:rsidP="00433E96">
      <w:pPr>
        <w:numPr>
          <w:ilvl w:val="0"/>
          <w:numId w:val="2"/>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zagęszczenie górnej strefy korpusu w wykopie według wymagań określonych w </w:t>
      </w:r>
      <w:proofErr w:type="spellStart"/>
      <w:r w:rsidRPr="00433E96">
        <w:rPr>
          <w:rFonts w:ascii="Times New Roman" w:eastAsia="Times New Roman" w:hAnsi="Times New Roman" w:cs="Times New Roman"/>
          <w:sz w:val="20"/>
          <w:szCs w:val="20"/>
          <w:lang w:eastAsia="pl-PL"/>
        </w:rPr>
        <w:t>pkcie</w:t>
      </w:r>
      <w:proofErr w:type="spellEnd"/>
      <w:r w:rsidRPr="00433E96">
        <w:rPr>
          <w:rFonts w:ascii="Times New Roman" w:eastAsia="Times New Roman" w:hAnsi="Times New Roman" w:cs="Times New Roman"/>
          <w:sz w:val="20"/>
          <w:szCs w:val="20"/>
          <w:lang w:eastAsia="pl-PL"/>
        </w:rPr>
        <w:t> 5.2.</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60" w:name="_Toc407161229"/>
      <w:bookmarkStart w:id="61" w:name="_Toc418994931"/>
      <w:bookmarkStart w:id="62" w:name="_Toc418996338"/>
      <w:bookmarkStart w:id="63" w:name="_Toc418996707"/>
      <w:bookmarkStart w:id="64" w:name="_Toc418997094"/>
      <w:bookmarkStart w:id="65" w:name="_Toc418998504"/>
      <w:bookmarkStart w:id="66" w:name="_Toc418998860"/>
      <w:bookmarkStart w:id="67" w:name="_Toc419000105"/>
      <w:r w:rsidRPr="00433E96">
        <w:rPr>
          <w:rFonts w:ascii="Times New Roman" w:eastAsia="Times New Roman" w:hAnsi="Times New Roman" w:cs="Times New Roman"/>
          <w:b/>
          <w:caps/>
          <w:kern w:val="28"/>
          <w:sz w:val="20"/>
          <w:szCs w:val="20"/>
          <w:lang w:eastAsia="pl-PL"/>
        </w:rPr>
        <w:t>7. obmiar robót</w:t>
      </w:r>
      <w:bookmarkEnd w:id="60"/>
      <w:bookmarkEnd w:id="61"/>
      <w:bookmarkEnd w:id="62"/>
      <w:bookmarkEnd w:id="63"/>
      <w:bookmarkEnd w:id="64"/>
      <w:bookmarkEnd w:id="65"/>
      <w:bookmarkEnd w:id="66"/>
      <w:bookmarkEnd w:id="67"/>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8" w:name="_Toc407161230"/>
      <w:r w:rsidRPr="00433E96">
        <w:rPr>
          <w:rFonts w:ascii="Times New Roman" w:eastAsia="Times New Roman" w:hAnsi="Times New Roman" w:cs="Times New Roman"/>
          <w:b/>
          <w:sz w:val="20"/>
          <w:szCs w:val="20"/>
          <w:lang w:eastAsia="pl-PL"/>
        </w:rPr>
        <w:t>7.1. Ogólne zasady obmiaru robót</w:t>
      </w:r>
      <w:bookmarkEnd w:id="68"/>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obmiaru robót podano w OST D-02.00.01 pkt 7.</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9" w:name="_Toc407161231"/>
      <w:r w:rsidRPr="00433E96">
        <w:rPr>
          <w:rFonts w:ascii="Times New Roman" w:eastAsia="Times New Roman" w:hAnsi="Times New Roman" w:cs="Times New Roman"/>
          <w:b/>
          <w:sz w:val="20"/>
          <w:szCs w:val="20"/>
          <w:lang w:eastAsia="pl-PL"/>
        </w:rPr>
        <w:t>7.2. Jednostka obmiarowa</w:t>
      </w:r>
      <w:bookmarkEnd w:id="69"/>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Jednostką obmiarową jest m</w:t>
      </w:r>
      <w:r w:rsidRPr="00433E96">
        <w:rPr>
          <w:rFonts w:ascii="Times New Roman" w:eastAsia="Times New Roman" w:hAnsi="Times New Roman" w:cs="Times New Roman"/>
          <w:sz w:val="20"/>
          <w:szCs w:val="20"/>
          <w:vertAlign w:val="superscript"/>
          <w:lang w:eastAsia="pl-PL"/>
        </w:rPr>
        <w:t>3</w:t>
      </w:r>
      <w:r w:rsidRPr="00433E96">
        <w:rPr>
          <w:rFonts w:ascii="Times New Roman" w:eastAsia="Times New Roman" w:hAnsi="Times New Roman" w:cs="Times New Roman"/>
          <w:sz w:val="20"/>
          <w:szCs w:val="20"/>
          <w:lang w:eastAsia="pl-PL"/>
        </w:rPr>
        <w:t xml:space="preserve"> (metr sześcienny) wykonanego wykopu.</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0" w:name="_Toc407161232"/>
      <w:bookmarkStart w:id="71" w:name="_Toc418994932"/>
      <w:bookmarkStart w:id="72" w:name="_Toc418996339"/>
      <w:bookmarkStart w:id="73" w:name="_Toc418996708"/>
      <w:bookmarkStart w:id="74" w:name="_Toc418997095"/>
      <w:bookmarkStart w:id="75" w:name="_Toc418998505"/>
      <w:bookmarkStart w:id="76" w:name="_Toc418998861"/>
      <w:bookmarkStart w:id="77" w:name="_Toc419000106"/>
      <w:r w:rsidRPr="00433E96">
        <w:rPr>
          <w:rFonts w:ascii="Times New Roman" w:eastAsia="Times New Roman" w:hAnsi="Times New Roman" w:cs="Times New Roman"/>
          <w:b/>
          <w:caps/>
          <w:kern w:val="28"/>
          <w:sz w:val="20"/>
          <w:szCs w:val="20"/>
          <w:lang w:eastAsia="pl-PL"/>
        </w:rPr>
        <w:t>8. odbiór robót</w:t>
      </w:r>
      <w:bookmarkEnd w:id="70"/>
      <w:bookmarkEnd w:id="71"/>
      <w:bookmarkEnd w:id="72"/>
      <w:bookmarkEnd w:id="73"/>
      <w:bookmarkEnd w:id="74"/>
      <w:bookmarkEnd w:id="75"/>
      <w:bookmarkEnd w:id="76"/>
      <w:bookmarkEnd w:id="77"/>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odbioru robót podano w OST D-02.00.01 pkt 8.</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8" w:name="_Toc407161233"/>
      <w:bookmarkStart w:id="79" w:name="_Toc418994933"/>
      <w:bookmarkStart w:id="80" w:name="_Toc418996340"/>
      <w:bookmarkStart w:id="81" w:name="_Toc418996709"/>
      <w:bookmarkStart w:id="82" w:name="_Toc418997096"/>
      <w:bookmarkStart w:id="83" w:name="_Toc418998506"/>
      <w:bookmarkStart w:id="84" w:name="_Toc418998862"/>
      <w:bookmarkStart w:id="85" w:name="_Toc419000107"/>
      <w:r w:rsidRPr="00433E96">
        <w:rPr>
          <w:rFonts w:ascii="Times New Roman" w:eastAsia="Times New Roman" w:hAnsi="Times New Roman" w:cs="Times New Roman"/>
          <w:b/>
          <w:caps/>
          <w:kern w:val="28"/>
          <w:sz w:val="20"/>
          <w:szCs w:val="20"/>
          <w:lang w:eastAsia="pl-PL"/>
        </w:rPr>
        <w:t>9. podstawa płatności</w:t>
      </w:r>
      <w:bookmarkEnd w:id="78"/>
      <w:bookmarkEnd w:id="79"/>
      <w:bookmarkEnd w:id="80"/>
      <w:bookmarkEnd w:id="81"/>
      <w:bookmarkEnd w:id="82"/>
      <w:bookmarkEnd w:id="83"/>
      <w:bookmarkEnd w:id="84"/>
      <w:bookmarkEnd w:id="85"/>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6" w:name="_Toc407161234"/>
      <w:r w:rsidRPr="00433E96">
        <w:rPr>
          <w:rFonts w:ascii="Times New Roman" w:eastAsia="Times New Roman" w:hAnsi="Times New Roman" w:cs="Times New Roman"/>
          <w:b/>
          <w:sz w:val="20"/>
          <w:szCs w:val="20"/>
          <w:lang w:eastAsia="pl-PL"/>
        </w:rPr>
        <w:t>9.1. Ogólne ustalenia dotyczące podstawy płatności</w:t>
      </w:r>
      <w:bookmarkEnd w:id="86"/>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ustalenia dotyczące podstawy płatności podano w OST D-02.00.01 pkt 9.</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7" w:name="_Toc407161235"/>
      <w:r w:rsidRPr="00433E96">
        <w:rPr>
          <w:rFonts w:ascii="Times New Roman" w:eastAsia="Times New Roman" w:hAnsi="Times New Roman" w:cs="Times New Roman"/>
          <w:b/>
          <w:sz w:val="20"/>
          <w:szCs w:val="20"/>
          <w:lang w:eastAsia="pl-PL"/>
        </w:rPr>
        <w:lastRenderedPageBreak/>
        <w:t>9.2. Cena jednostki obmiarowej</w:t>
      </w:r>
      <w:bookmarkEnd w:id="87"/>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Cena wykonania 1 m</w:t>
      </w:r>
      <w:r w:rsidRPr="00433E96">
        <w:rPr>
          <w:rFonts w:ascii="Times New Roman" w:eastAsia="Times New Roman" w:hAnsi="Times New Roman" w:cs="Times New Roman"/>
          <w:sz w:val="20"/>
          <w:szCs w:val="20"/>
          <w:vertAlign w:val="superscript"/>
          <w:lang w:eastAsia="pl-PL"/>
        </w:rPr>
        <w:t>3</w:t>
      </w:r>
      <w:r w:rsidRPr="00433E96">
        <w:rPr>
          <w:rFonts w:ascii="Times New Roman" w:eastAsia="Times New Roman" w:hAnsi="Times New Roman" w:cs="Times New Roman"/>
          <w:sz w:val="20"/>
          <w:szCs w:val="20"/>
          <w:lang w:eastAsia="pl-PL"/>
        </w:rPr>
        <w:t xml:space="preserve"> wykopów w gruntach nieskalistych obejmuje:</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prace pomiarowe i roboty przygotowawcze,</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oznakowanie robót,</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wykonanie wykopu z transportem urobku na nasyp lub odkład, obejmujące: odspojenie, przemieszczenie, załadunek, przewiezienie i wyładunek,</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odwodnienie wykopu na czas jego wykonywania,</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profilowanie dna wykopu, rowów, skarp,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zagęszczenie powierzchni wykopu,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przeprowadzenie pomiarów i badań laboratoryjnych, wymaganych w specyfikacji technicznej,</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rozplantowanie urobku na odkładzie,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wykonanie, a następnie rozebranie dróg dojazdowych,</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rekultywację terenu.</w:t>
      </w:r>
      <w:r w:rsidRPr="00433E96">
        <w:rPr>
          <w:rFonts w:ascii="Times New Roman" w:eastAsia="Times New Roman" w:hAnsi="Times New Roman" w:cs="Times New Roman"/>
          <w:sz w:val="20"/>
          <w:szCs w:val="20"/>
          <w:lang w:eastAsia="pl-PL"/>
        </w:rPr>
        <w:tab/>
      </w:r>
    </w:p>
    <w:p w:rsidR="00433E96" w:rsidRPr="00433E96" w:rsidRDefault="00433E96" w:rsidP="00433E96">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8" w:name="_Toc407161236"/>
      <w:bookmarkStart w:id="89" w:name="_Toc418994934"/>
      <w:bookmarkStart w:id="90" w:name="_Toc418996341"/>
      <w:bookmarkStart w:id="91" w:name="_Toc418996710"/>
      <w:bookmarkStart w:id="92" w:name="_Toc418997097"/>
      <w:bookmarkStart w:id="93" w:name="_Toc418998507"/>
      <w:bookmarkStart w:id="94" w:name="_Toc418998863"/>
      <w:bookmarkStart w:id="95" w:name="_Toc419000108"/>
      <w:r w:rsidRPr="00433E96">
        <w:rPr>
          <w:rFonts w:ascii="Times New Roman" w:eastAsia="Times New Roman" w:hAnsi="Times New Roman" w:cs="Times New Roman"/>
          <w:b/>
          <w:caps/>
          <w:kern w:val="28"/>
          <w:sz w:val="20"/>
          <w:szCs w:val="20"/>
          <w:lang w:eastAsia="pl-PL"/>
        </w:rPr>
        <w:t>10. przepisy związane</w:t>
      </w:r>
      <w:bookmarkEnd w:id="88"/>
      <w:bookmarkEnd w:id="89"/>
      <w:bookmarkEnd w:id="90"/>
      <w:bookmarkEnd w:id="91"/>
      <w:bookmarkEnd w:id="92"/>
      <w:bookmarkEnd w:id="93"/>
      <w:bookmarkEnd w:id="94"/>
      <w:bookmarkEnd w:id="95"/>
    </w:p>
    <w:p w:rsidR="00433E96" w:rsidRPr="00433E96" w:rsidRDefault="00433E96" w:rsidP="00433E9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Spis przepisów związanych podano w OST D-02.00.01 pkt 10.</w:t>
      </w:r>
    </w:p>
    <w:p w:rsidR="00CB7AD9" w:rsidRDefault="00CB7AD9" w:rsidP="00433E96"/>
    <w:sectPr w:rsidR="00CB7AD9" w:rsidSect="00C95F40">
      <w:footerReference w:type="default" r:id="rId8"/>
      <w:pgSz w:w="11906" w:h="16838"/>
      <w:pgMar w:top="1417" w:right="1417" w:bottom="1417" w:left="1417" w:header="708" w:footer="6"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485" w:rsidRDefault="00870485" w:rsidP="002D7B3F">
      <w:pPr>
        <w:spacing w:after="0" w:line="240" w:lineRule="auto"/>
      </w:pPr>
      <w:r>
        <w:separator/>
      </w:r>
    </w:p>
  </w:endnote>
  <w:endnote w:type="continuationSeparator" w:id="0">
    <w:p w:rsidR="00870485" w:rsidRDefault="00870485" w:rsidP="002D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133963"/>
      <w:docPartObj>
        <w:docPartGallery w:val="Page Numbers (Bottom of Page)"/>
        <w:docPartUnique/>
      </w:docPartObj>
    </w:sdtPr>
    <w:sdtEndPr>
      <w:rPr>
        <w:noProof/>
      </w:rPr>
    </w:sdtEndPr>
    <w:sdtContent>
      <w:p w:rsidR="00C95F40" w:rsidRDefault="00C95F40">
        <w:pPr>
          <w:pStyle w:val="Stopka"/>
          <w:jc w:val="center"/>
        </w:pPr>
        <w:r>
          <w:fldChar w:fldCharType="begin"/>
        </w:r>
        <w:r>
          <w:instrText xml:space="preserve"> PAGE   \* MERGEFORMAT </w:instrText>
        </w:r>
        <w:r>
          <w:fldChar w:fldCharType="separate"/>
        </w:r>
        <w:r>
          <w:rPr>
            <w:noProof/>
          </w:rPr>
          <w:t>43</w:t>
        </w:r>
        <w:r>
          <w:rPr>
            <w:noProof/>
          </w:rPr>
          <w:fldChar w:fldCharType="end"/>
        </w:r>
      </w:p>
    </w:sdtContent>
  </w:sdt>
  <w:p w:rsidR="002D7B3F" w:rsidRDefault="002D7B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485" w:rsidRDefault="00870485" w:rsidP="002D7B3F">
      <w:pPr>
        <w:spacing w:after="0" w:line="240" w:lineRule="auto"/>
      </w:pPr>
      <w:r>
        <w:separator/>
      </w:r>
    </w:p>
  </w:footnote>
  <w:footnote w:type="continuationSeparator" w:id="0">
    <w:p w:rsidR="00870485" w:rsidRDefault="00870485" w:rsidP="002D7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AE214"/>
    <w:lvl w:ilvl="0">
      <w:numFmt w:val="bullet"/>
      <w:lvlText w:val="*"/>
      <w:lvlJc w:val="left"/>
    </w:lvl>
  </w:abstractNum>
  <w:abstractNum w:abstractNumId="1">
    <w:nsid w:val="70F82A4E"/>
    <w:multiLevelType w:val="singleLevel"/>
    <w:tmpl w:val="B23A008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B65FF"/>
    <w:rsid w:val="00193618"/>
    <w:rsid w:val="00280924"/>
    <w:rsid w:val="00297639"/>
    <w:rsid w:val="002D7B3F"/>
    <w:rsid w:val="002E0CF6"/>
    <w:rsid w:val="00385AD5"/>
    <w:rsid w:val="00433E96"/>
    <w:rsid w:val="00695449"/>
    <w:rsid w:val="006F093B"/>
    <w:rsid w:val="00783752"/>
    <w:rsid w:val="007C0800"/>
    <w:rsid w:val="00870485"/>
    <w:rsid w:val="009B65FF"/>
    <w:rsid w:val="00C95F40"/>
    <w:rsid w:val="00CA4962"/>
    <w:rsid w:val="00CB7AD9"/>
    <w:rsid w:val="00CC4E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7AD9"/>
  </w:style>
  <w:style w:type="paragraph" w:styleId="Nagwek1">
    <w:name w:val="heading 1"/>
    <w:basedOn w:val="Normalny"/>
    <w:link w:val="Nagwek1Znak"/>
    <w:uiPriority w:val="9"/>
    <w:qFormat/>
    <w:rsid w:val="009B65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9B65F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65FF"/>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9B65FF"/>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9B65FF"/>
  </w:style>
  <w:style w:type="paragraph" w:styleId="Spistreci1">
    <w:name w:val="toc 1"/>
    <w:basedOn w:val="Normalny"/>
    <w:autoRedefine/>
    <w:uiPriority w:val="39"/>
    <w:semiHidden/>
    <w:unhideWhenUsed/>
    <w:rsid w:val="009B65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9B65FF"/>
    <w:rPr>
      <w:color w:val="0000FF"/>
      <w:u w:val="single"/>
    </w:rPr>
  </w:style>
  <w:style w:type="paragraph" w:styleId="Nagwek">
    <w:name w:val="header"/>
    <w:basedOn w:val="Normalny"/>
    <w:link w:val="NagwekZnak"/>
    <w:uiPriority w:val="99"/>
    <w:unhideWhenUsed/>
    <w:rsid w:val="002D7B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7B3F"/>
  </w:style>
  <w:style w:type="paragraph" w:styleId="Stopka">
    <w:name w:val="footer"/>
    <w:basedOn w:val="Normalny"/>
    <w:link w:val="StopkaZnak"/>
    <w:uiPriority w:val="99"/>
    <w:unhideWhenUsed/>
    <w:rsid w:val="002D7B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315388">
      <w:bodyDiv w:val="1"/>
      <w:marLeft w:val="0"/>
      <w:marRight w:val="0"/>
      <w:marTop w:val="0"/>
      <w:marBottom w:val="0"/>
      <w:divBdr>
        <w:top w:val="none" w:sz="0" w:space="0" w:color="auto"/>
        <w:left w:val="none" w:sz="0" w:space="0" w:color="auto"/>
        <w:bottom w:val="none" w:sz="0" w:space="0" w:color="auto"/>
        <w:right w:val="none" w:sz="0" w:space="0" w:color="auto"/>
      </w:divBdr>
      <w:divsChild>
        <w:div w:id="1680111234">
          <w:marLeft w:val="0"/>
          <w:marRight w:val="0"/>
          <w:marTop w:val="0"/>
          <w:marBottom w:val="0"/>
          <w:divBdr>
            <w:top w:val="none" w:sz="0" w:space="0" w:color="auto"/>
            <w:left w:val="none" w:sz="0" w:space="0" w:color="auto"/>
            <w:bottom w:val="single" w:sz="4" w:space="1" w:color="auto"/>
            <w:right w:val="none" w:sz="0" w:space="0" w:color="auto"/>
          </w:divBdr>
        </w:div>
        <w:div w:id="169687025">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821</Words>
  <Characters>4926</Characters>
  <Application>Microsoft Office Word</Application>
  <DocSecurity>0</DocSecurity>
  <Lines>41</Lines>
  <Paragraphs>11</Paragraphs>
  <ScaleCrop>false</ScaleCrop>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9</cp:revision>
  <dcterms:created xsi:type="dcterms:W3CDTF">2017-01-27T06:07:00Z</dcterms:created>
  <dcterms:modified xsi:type="dcterms:W3CDTF">2019-04-27T13:43:00Z</dcterms:modified>
</cp:coreProperties>
</file>