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91" w:rsidRDefault="00906F42" w:rsidP="003D2B91">
      <w:pPr>
        <w:spacing w:after="0" w:line="240" w:lineRule="auto"/>
        <w:rPr>
          <w:rFonts w:ascii="Times New Roman" w:hAnsi="Times New Roman" w:cs="Times New Roman"/>
          <w:b/>
          <w:sz w:val="20"/>
          <w:lang w:eastAsia="pl-PL"/>
        </w:rPr>
      </w:pPr>
      <w:bookmarkStart w:id="0" w:name="_GoBack"/>
      <w:bookmarkEnd w:id="0"/>
      <w:r w:rsidRPr="003D2B91">
        <w:rPr>
          <w:rFonts w:ascii="Times New Roman" w:hAnsi="Times New Roman" w:cs="Times New Roman"/>
          <w:b/>
          <w:sz w:val="48"/>
          <w:szCs w:val="52"/>
          <w:lang w:eastAsia="pl-PL"/>
        </w:rPr>
        <w:t>D - 02.00.01</w:t>
      </w:r>
      <w:r w:rsidRPr="003D2B91">
        <w:rPr>
          <w:rFonts w:ascii="Times New Roman" w:hAnsi="Times New Roman" w:cs="Times New Roman"/>
          <w:b/>
          <w:sz w:val="20"/>
          <w:lang w:eastAsia="pl-PL"/>
        </w:rPr>
        <w:t> </w:t>
      </w:r>
    </w:p>
    <w:p w:rsidR="003D2B91" w:rsidRPr="003D2B91" w:rsidRDefault="003D2B91" w:rsidP="003D2B91">
      <w:pPr>
        <w:spacing w:after="0" w:line="240" w:lineRule="auto"/>
        <w:rPr>
          <w:rFonts w:ascii="Times New Roman" w:hAnsi="Times New Roman" w:cs="Times New Roman"/>
          <w:b/>
          <w:sz w:val="20"/>
          <w:lang w:eastAsia="pl-PL"/>
        </w:rPr>
      </w:pPr>
    </w:p>
    <w:p w:rsidR="00906F42" w:rsidRPr="003D2B91" w:rsidRDefault="003D2B91" w:rsidP="003D2B91">
      <w:pPr>
        <w:spacing w:after="0" w:line="240" w:lineRule="auto"/>
        <w:rPr>
          <w:rFonts w:ascii="Times New Roman" w:hAnsi="Times New Roman" w:cs="Times New Roman"/>
          <w:b/>
          <w:sz w:val="40"/>
          <w:szCs w:val="36"/>
          <w:lang w:eastAsia="pl-PL"/>
        </w:rPr>
      </w:pPr>
      <w:r w:rsidRPr="003D2B91">
        <w:rPr>
          <w:rFonts w:ascii="Times New Roman" w:hAnsi="Times New Roman" w:cs="Times New Roman"/>
          <w:b/>
          <w:sz w:val="40"/>
          <w:szCs w:val="36"/>
          <w:lang w:eastAsia="pl-PL"/>
        </w:rPr>
        <w:t>ROBOTY ZIEMNE. WYMAGANIA </w:t>
      </w:r>
      <w:r w:rsidR="00906F42" w:rsidRPr="003D2B91">
        <w:rPr>
          <w:rFonts w:ascii="Times New Roman" w:hAnsi="Times New Roman" w:cs="Times New Roman"/>
          <w:b/>
          <w:sz w:val="40"/>
          <w:szCs w:val="36"/>
          <w:lang w:eastAsia="pl-PL"/>
        </w:rPr>
        <w:t>OGÓLNE</w:t>
      </w:r>
    </w:p>
    <w:p w:rsidR="00906F42" w:rsidRDefault="00906F42" w:rsidP="004B6BA4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4B6BA4">
        <w:rPr>
          <w:rFonts w:ascii="Times New Roman" w:hAnsi="Times New Roman" w:cs="Times New Roman"/>
          <w:sz w:val="24"/>
          <w:szCs w:val="24"/>
          <w:lang w:eastAsia="pl-PL"/>
        </w:rPr>
        <w:t> </w:t>
      </w:r>
      <w:bookmarkStart w:id="1" w:name="_Toc405615030"/>
      <w:bookmarkStart w:id="2" w:name="_Toc407161178"/>
      <w:bookmarkStart w:id="3" w:name="_Toc418996322"/>
      <w:bookmarkStart w:id="4" w:name="_Toc418996691"/>
      <w:bookmarkStart w:id="5" w:name="_Toc418997078"/>
      <w:bookmarkStart w:id="6" w:name="_Toc418998487"/>
      <w:bookmarkStart w:id="7" w:name="_Toc418998843"/>
      <w:bookmarkEnd w:id="1"/>
      <w:bookmarkEnd w:id="2"/>
      <w:bookmarkEnd w:id="3"/>
      <w:bookmarkEnd w:id="4"/>
      <w:bookmarkEnd w:id="5"/>
      <w:bookmarkEnd w:id="6"/>
      <w:bookmarkEnd w:id="7"/>
    </w:p>
    <w:p w:rsidR="003D2B91" w:rsidRPr="004B6BA4" w:rsidRDefault="003D2B91" w:rsidP="004B6BA4">
      <w:pPr>
        <w:rPr>
          <w:rFonts w:ascii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1._Wstęp"/>
      <w:bookmarkStart w:id="9" w:name="_Toc419000089"/>
      <w:bookmarkEnd w:id="8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9"/>
    </w:p>
    <w:p w:rsidR="003D2B91" w:rsidRPr="003D2B91" w:rsidRDefault="002B6192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0" w:name="_Toc405615031"/>
      <w:bookmarkStart w:id="11" w:name="_Toc407161179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3D2B91"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10"/>
      <w:bookmarkEnd w:id="1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2B6192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 specyfikacji technicznej (S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liniowych robót ziemnych.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" w:name="_Toc405615032"/>
      <w:bookmarkStart w:id="13" w:name="_Toc407161180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OST</w:t>
      </w:r>
      <w:bookmarkEnd w:id="12"/>
      <w:bookmarkEnd w:id="1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wykorzystanie OST przy zlecaniu robót na drogach wojewódzkich, powiatowych i gminnych.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Niniejsza specyfikacja nie ma zastosowania do robót fundamentowych i związanych z wykonaniem instalacji.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4" w:name="_Toc405615033"/>
      <w:bookmarkStart w:id="15" w:name="_Toc40716118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  <w:bookmarkEnd w:id="14"/>
      <w:bookmarkEnd w:id="1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robót ziemnych w czasie budowy lub modernizacji dróg i obejmują: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wykopów w gruntach nieskalistych,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wykopów w gruntach skalistych,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budowę nasypów drogowych,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pozyskiwanie gruntu z ukopu lub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dokopu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6" w:name="_Toc405615034"/>
      <w:bookmarkStart w:id="17" w:name="_Toc40716118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  <w:bookmarkEnd w:id="16"/>
      <w:bookmarkEnd w:id="17"/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Budowla ziemna - budowla wykonana w gruncie lub z gruntu naturalnego lub z gruntu antropogenicznego spełniająca warunki stateczności i odwodnienia.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Korpus drogowy - nasyp lub ta część wykopu, która jest ograniczona koroną drogi i skarpami rowów.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1.4.3.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Wysokość nasypu lub głębokość wykopu - różnica rzędnej terenu i rzędnej robót ziemnych, wyznaczonych w osi nasypu lub wykopu.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niski - nasyp, którego wysokość jest mniejsza niż 1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1.4.5.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średni - nasyp, którego wysokość jest zawarta w granicach od 1 do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1.4.6.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wysoki - nasyp, którego wysokość przekracza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1.4.7.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płytki - wykop, którego głębokość jest mniejsza niż 1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1.4.8.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średni - wykop, którego głębokość jest zawarta w granicach od 1 do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1.4.9.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głęboki - wykop, którego głębokość przekracza 3 m.</w:t>
      </w:r>
    </w:p>
    <w:p w:rsidR="003D2B91" w:rsidRPr="003D2B91" w:rsidRDefault="003D2B91" w:rsidP="003D2B9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Bagno - grunt organiczny nasycony wodą, o małej nośności, charakteryzujący się znacznym i długotrwałym osiadaniem pod obciążeniem.</w:t>
      </w:r>
    </w:p>
    <w:p w:rsidR="003D2B91" w:rsidRPr="003D2B91" w:rsidRDefault="003D2B91" w:rsidP="003D2B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Grunt nieskalisty - każdy grunt rodzimy, nie określony w punkcie 1.4.12 jako grunt skalisty.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1.4.12.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c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ponad 0,2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MPa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; wymaga użycia środków wybuchowych albo narzędzi pneumatycznych lub hydraulicznych do odspojenia.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1.4.13.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Ukop - miejsce pozyskania gruntu do wykonania nasypów, położone w obrębie pasa robót drogowych.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1.4.14.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Dokop - miejsce pozyskania gruntu do wykonania nasypów, położone poza pasem robót drogowych.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1.4.15.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Odkład - miejsce wbudowania lub składowania (odwiezienia) gruntów pozyskanych w czasie wykonywania wykopów, a nie wykorzystanych do budowy nasypów oraz innych prac związanych z trasą drogową.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1.4.16.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zagęszczenia gruntu - wielkość charakteryzująca stan zagęszczenia gruntu, określona wg wzoru: 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8" o:title=""/>
          </v:shape>
          <o:OLEObject Type="Embed" ProgID="Equation.3" ShapeID="_x0000_i1025" DrawAspect="Content" ObjectID="_1617884764" r:id="rId9"/>
        </w:objec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ym w:font="Symbol" w:char="F072"/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d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gęstość objętościowa szkieletu zagęszczonego gruntu, zgodnie z BN-77/8931-12 [9], (Mg/m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ym w:font="Symbol" w:char="F072"/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ds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maksymalna gęstość objętościowa szkieletu gruntowego przy wilgotności optymalnej, zgodnie z PN-B-04481:1988 [2], służąca do oceny zagęszczenia gruntu w robotach ziemnych, (Mg/m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1.4.17.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różnoziarnistości - wielkość charakteryzująca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zagęszczalność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gruntów niespoistych, określona wg wzoru: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80" w:dyaOrig="600">
          <v:shape id="_x0000_i1026" type="#_x0000_t75" style="width:39pt;height:30pt" o:ole="">
            <v:imagedata r:id="rId10" o:title=""/>
          </v:shape>
          <o:OLEObject Type="Embed" ProgID="Equation.3" ShapeID="_x0000_i1026" DrawAspect="Content" ObjectID="_1617884765" r:id="rId11"/>
        </w:objec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d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60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średnica oczek sita, przez które przechodzi 60% gruntu, (mm),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d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10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średnica oczek sita, przez które przechodzi 10% gruntu, (mm).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1.4.18.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Wskaźnik odkształcenia gruntu - wielkość charakteryzująca stan zagęszczenia gruntu, określona wg wzoru: 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20" w:dyaOrig="600">
          <v:shape id="_x0000_i1027" type="#_x0000_t75" style="width:36pt;height:30pt" o:ole="">
            <v:imagedata r:id="rId12" o:title=""/>
          </v:shape>
          <o:OLEObject Type="Embed" ProgID="Equation.3" ShapeID="_x0000_i1027" DrawAspect="Content" ObjectID="_1617884766" r:id="rId13"/>
        </w:objec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E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1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moduł odkształcenia gruntu oznaczony w pierwszym obciążeniu badanej warstwy zgodnie z PN-S-02205:1998 [4],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E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2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moduł odkształcenia gruntu oznaczony w powtórnym obciążeniu badanej warstwy zgodnie z PN-S-02205:1998 [4].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1.4.19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obejmują: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geotkaniny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geowłókniny,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geodzianiny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georuszty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geomembrany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z wytycznymi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[13].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1.4.20.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" w:name="_Toc405615035"/>
      <w:bookmarkStart w:id="19" w:name="_Toc40716118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  <w:bookmarkEnd w:id="18"/>
      <w:bookmarkEnd w:id="1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05615036"/>
      <w:bookmarkStart w:id="21" w:name="_Toc407161184"/>
      <w:bookmarkStart w:id="22" w:name="_Toc418996323"/>
      <w:bookmarkStart w:id="23" w:name="_Toc418996692"/>
      <w:bookmarkStart w:id="24" w:name="_Toc418997079"/>
      <w:bookmarkStart w:id="25" w:name="_Toc418998489"/>
      <w:bookmarkStart w:id="26" w:name="_Toc418998845"/>
      <w:bookmarkStart w:id="27" w:name="_Toc419000090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 (grunty)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8" w:name="_Toc405615037"/>
      <w:bookmarkStart w:id="29" w:name="_Toc407161185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  <w:bookmarkEnd w:id="28"/>
      <w:bookmarkEnd w:id="2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0" w:name="_Toc405615038"/>
      <w:bookmarkStart w:id="31" w:name="_Toc40716118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Podział gruntów</w:t>
      </w:r>
      <w:bookmarkEnd w:id="30"/>
      <w:bookmarkEnd w:id="3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Podział gruntów pod względem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wysadzinowości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podaje tablica 1.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Podział gruntów pod względem przydatności do budowy nasypów podano w OST D-02.03.01 pkt 2.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2" w:name="_Toc405615039"/>
      <w:bookmarkStart w:id="33" w:name="_Toc40716118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Zasady wykorzystania gruntów</w:t>
      </w:r>
      <w:bookmarkEnd w:id="32"/>
      <w:bookmarkEnd w:id="3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grunty przydatne, uzyskane przy wykonaniu wykopów, nie będąc nadmiarem objętości robót ziemnych, zostały za zgodą Inżyniera wywiezione przez Wykonawcę poza teren budowy z przeznaczeniem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innym niż budowa nasypów lub wykonanie prac objętych kontraktem, Wykonawca jest zobowiązany do dostarczenia równoważnej objętości gruntów przydatnych ze źródeł własnych, zaakceptowanych przez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i materiały nieprzydatne do budowy nasypów, określone w OST D-02.03.01 pkt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być zgodne z PN-EN-963:1999 [6] i dokumentacją projektową.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posiadać aprobatę techniczna wydaną przez uprawnioną jednostkę.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1. Podział gruntów pod względem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wysadzinowości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wg PN-S-02205:1998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709"/>
        <w:gridCol w:w="1628"/>
        <w:gridCol w:w="1628"/>
        <w:gridCol w:w="1629"/>
      </w:tblGrid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 gruntów</w:t>
            </w: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wysadzinowe</w:t>
            </w:r>
            <w:proofErr w:type="spellEnd"/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rumosz niegliniasty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żwir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pospółka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gruby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średni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drobny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żużel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nierozpadowy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pylasty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zwietrzelina gliniasta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rumosz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żwir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mało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wysadzinowe</w:t>
            </w:r>
            <w:proofErr w:type="spellEnd"/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glina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    czysta zwięzła, glina zwięzła, glina pylasta zwięzła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ił, ił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piaszczys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-ty, ił pylasty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bardzo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wysadzinowe</w:t>
            </w:r>
            <w:proofErr w:type="spellEnd"/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piasek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pył, pył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-czysty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glina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  czysta, glina, glina pylasta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ił warwowy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cząstek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0,075 mm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15 do 30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Kapilarność bierna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25</w:t>
            </w:r>
          </w:p>
        </w:tc>
      </w:tr>
    </w:tbl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4" w:name="_Toc418996324"/>
      <w:bookmarkStart w:id="35" w:name="_Toc418996693"/>
      <w:bookmarkStart w:id="36" w:name="_Toc418997080"/>
      <w:bookmarkStart w:id="37" w:name="_Toc418998490"/>
      <w:bookmarkStart w:id="38" w:name="_Toc418998846"/>
      <w:bookmarkStart w:id="39" w:name="_Toc419000091"/>
      <w:bookmarkStart w:id="40" w:name="_Toc405615042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34"/>
      <w:bookmarkEnd w:id="35"/>
      <w:bookmarkEnd w:id="36"/>
      <w:bookmarkEnd w:id="37"/>
      <w:bookmarkEnd w:id="38"/>
      <w:bookmarkEnd w:id="39"/>
    </w:p>
    <w:p w:rsidR="003D2B91" w:rsidRPr="003D2B91" w:rsidRDefault="003D2B91" w:rsidP="003D2B91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sz w:val="24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3D2B91" w:rsidRPr="003D2B91" w:rsidRDefault="003D2B91" w:rsidP="003D2B91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1" w:name="_Toc407161190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robót ziemnych</w:t>
      </w:r>
      <w:bookmarkEnd w:id="40"/>
      <w:bookmarkEnd w:id="41"/>
    </w:p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robót ziemnych powinien wykazać się możliwością korzystania z następującego sprzętu do: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odspajania i wydobywania gruntów (narzędzia mechaniczne, młoty pneumatyczne, zrywarki, koparki, ładowarki, wiertarki mechaniczne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jednoczesnego wydobywania i przemieszczania gruntów (spycharki, zgarniarki, równiarki, urządzenia do hydromechanizacji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transportu mas ziemnych (samochody wywrotki, samochody skrzyniowe, taśmociągi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zagęszczającego (walce, ubijaki, płyty wibracyjne itp.).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3.3. Sprzęt do przenoszenia i układania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przenoszenia i układania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Wykonawca powinien używać odpowiedniego sprzętu zalecanego przez producenta. Wykonawca nie powinien stosować sprzętu mogącego spowodować uszkodzenie układanego materiału.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2" w:name="_Toc405615043"/>
      <w:bookmarkStart w:id="43" w:name="_Toc407161191"/>
      <w:bookmarkStart w:id="44" w:name="_Toc418996325"/>
      <w:bookmarkStart w:id="45" w:name="_Toc418996694"/>
      <w:bookmarkStart w:id="46" w:name="_Toc418997081"/>
      <w:bookmarkStart w:id="47" w:name="_Toc418998491"/>
      <w:bookmarkStart w:id="48" w:name="_Toc418998847"/>
      <w:bookmarkStart w:id="49" w:name="_Toc419000092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0" w:name="_Toc405615044"/>
      <w:bookmarkStart w:id="51" w:name="_Toc40716119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  <w:bookmarkEnd w:id="50"/>
      <w:bookmarkEnd w:id="5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2" w:name="_Toc405615045"/>
      <w:bookmarkStart w:id="53" w:name="_Toc40716119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gruntów</w:t>
      </w:r>
      <w:bookmarkEnd w:id="52"/>
      <w:bookmarkEnd w:id="5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4.3. Transport i składowanie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powinien zadbać, aby transport, przenoszenie, przechowywanie i zabezpieczanie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były wykonywane w sposób nie powodujący mechanicznych lub chemicznych ich uszkodzeń.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wrażliwe na światło słoneczne powinny pozostawać zakryte w czasie od ich wyprodukowania do wbudowania. 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54" w:name="_Toc405615046"/>
      <w:bookmarkStart w:id="55" w:name="_Toc407161194"/>
      <w:bookmarkStart w:id="56" w:name="_Toc418996326"/>
      <w:bookmarkStart w:id="57" w:name="_Toc418996695"/>
      <w:bookmarkStart w:id="58" w:name="_Toc418997082"/>
      <w:bookmarkStart w:id="59" w:name="_Toc418998492"/>
      <w:bookmarkStart w:id="60" w:name="_Toc418998848"/>
      <w:bookmarkStart w:id="61" w:name="_Toc419000093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2" w:name="_Toc405615047"/>
      <w:bookmarkStart w:id="63" w:name="_Toc407161195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  <w:bookmarkEnd w:id="62"/>
      <w:bookmarkEnd w:id="6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4" w:name="_Toc405615048"/>
      <w:bookmarkStart w:id="65" w:name="_Toc40716119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Dokładność wykonania wykopów i nasypów</w:t>
      </w:r>
      <w:bookmarkEnd w:id="64"/>
      <w:bookmarkEnd w:id="6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Odchylenie osi korpusu ziemnego, w wykopie lub nasypie, od osi projektowanej nie powinny być większe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 Różnica w stosunku do projektowanych rzędnych robót ziemnych nie może przekraczać + 1 cm i -3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górnej powierzchni korpusu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cm, a krawędzie korony drogi nie powinny mieć wyraźnych załamań w planie.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 przy pomiarze łatą 3-metrową, albo powinny być spełnione inne wymagania dotyczące nierówności, wynikające ze sposobu umocnienia powierzchni skarpy.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skalistych wymagania, dotyczące równości powierzchni dna wykopu oraz pochylenia i równości skarp, powinny być określone w dokumentacji projektowej i SST.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6" w:name="_Toc405615049"/>
      <w:bookmarkStart w:id="67" w:name="_Toc40716119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Odwodnienia pasa robót ziemnych</w:t>
      </w:r>
      <w:bookmarkEnd w:id="66"/>
      <w:bookmarkEnd w:id="6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przewilgoceniem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Odprowadzenie wód do istniejących zbiorników naturalnych i urządzeń odwadniających musi być poprzedzone uzgodnieniem z odpowiednimi instytucjami.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8" w:name="_Toc405615050"/>
      <w:bookmarkStart w:id="69" w:name="_Toc407161198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Odwodnienie wykopów</w:t>
      </w:r>
      <w:bookmarkEnd w:id="68"/>
      <w:bookmarkEnd w:id="6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Źródła wody, odsłonięte przy wykonywaniu wykopów, należy ująć w rowy i /lub dreny. Wody opadowe i gruntowe należy odprowadzić poza teren pasa robót ziemnych.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0" w:name="_Toc405615051"/>
      <w:bookmarkStart w:id="71" w:name="_Toc407161199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Rowy</w:t>
      </w:r>
      <w:bookmarkEnd w:id="70"/>
      <w:bookmarkEnd w:id="7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 Dokładność wykonania skarp rowów powinna być zgodna z określoną dla skarp wykopów w OST D-02.01.01.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 Układanie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układać z zakładem (i kotwieniem) zgodnie z instrukcją producenta lub decyzją projektanta.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uszkodzenia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należy w uzgodnieniu z Inżynierem, przykryć to uszkodzenie pasami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długości i szerokości większej o 90 cm od obszaru uszkodzonego.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Warstwa gruntu, na której przewiduje się ułożenie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powinna być równa i bez ostrych występów, mogących spowodować uszkodzenie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czasie układania lub pracy. Metoda układania powinna zapewnić przyleganie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warstwy, na której jest układana, na całej jej powierzchni.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należy naciągać lub powodować ich zawieszenia na wzgórkach (garbach) lub nad dołami. Nie dopuszcza się ruchu maszyn budowlanych bezpośrednio na ułożonych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geosyntetykach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. Należy je przykryć gruntem nasypowym niezwłocznie po ułożeniu.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2" w:name="_Toc405615052"/>
      <w:bookmarkStart w:id="73" w:name="_Toc407161200"/>
      <w:bookmarkStart w:id="74" w:name="_Toc418996327"/>
      <w:bookmarkStart w:id="75" w:name="_Toc418996696"/>
      <w:bookmarkStart w:id="76" w:name="_Toc418997083"/>
      <w:bookmarkStart w:id="77" w:name="_Toc418998493"/>
      <w:bookmarkStart w:id="78" w:name="_Toc418998849"/>
      <w:bookmarkStart w:id="79" w:name="_Toc419000094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0" w:name="_Toc405615053"/>
      <w:bookmarkStart w:id="81" w:name="_Toc40716120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  <w:bookmarkEnd w:id="80"/>
      <w:bookmarkEnd w:id="8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2" w:name="_Toc405615054"/>
      <w:bookmarkStart w:id="83" w:name="_Toc40716120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i pomiary w czasie wykonywania robót ziemnych</w:t>
      </w:r>
      <w:bookmarkEnd w:id="82"/>
      <w:bookmarkEnd w:id="83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odwodnienia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Sprawdzenie odwodnienia korpusu ziemnego polega na kontroli zgodności z wymaganiami specyfikacji określonymi w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oraz z dokumentacją projektową.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Szczególną uwagę należy zwrócić na: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- właściwe ujęcie i odprowadzenie wód opadowych,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- właściwe ujęcie i odprowadzenie wysięków wodnych.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jakości wykonania robót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Czynności wchodzące w zakres sprawdzenia jakości wykonania robót określono w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OST D-02.01.01, D-02.02.01 oraz D-02.03.01.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4" w:name="_Toc405615055"/>
      <w:bookmarkStart w:id="85" w:name="_Toc40716120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do odbioru korpusu ziemnego</w:t>
      </w:r>
      <w:bookmarkEnd w:id="84"/>
      <w:bookmarkEnd w:id="8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 odbioru korpusu ziemnego podaje tablica 2.</w:t>
      </w: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00"/>
        <w:gridCol w:w="4514"/>
      </w:tblGrid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badań i pomiarów</w:t>
            </w: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taśmą, szablonem, łatą o długości 3 m i poziomicą lub niwelatorem, w odstępach co 200 m na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prostych, w punktach głównych łuku, co 100 m na łukach o R 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 co 50 m na łukach o R 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w miejscach, które budzą wątpliwości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niwelatorem rzędnych w odstępach co 200 m oraz w punktach wątpliwych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zagęszczenia określać dla każdej ułożonej warstwy lecz nie rzadziej niż w trzech punktach na 1000 m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warstwy</w:t>
            </w:r>
          </w:p>
        </w:tc>
      </w:tr>
    </w:tbl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korpusu ziemnego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korpusu ziemnego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dna rowów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dna rowów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6.3.4.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korony korpusu ziemnego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Rzędne korony korpusu ziemnego nie mogą różnić się od rzędnych projektowanych o więcej niż -3 cm lub +1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6.3.5.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Pochylenie skarp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Pochylenie skarp nie może różnić się od pochylenia projektowanego o więcej niż 10% wartości pochylenia wyrażonego tangensem kąta.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6.3.6.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korony korpusu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powierzchni korpusu ziemnego mierzone łatą 3-metrową, nie mogą przekraczać 3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6.3.7.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skarp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Nierówności skarp, mierzone łatą 3-metrową, nie mogą przekraczać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6.3.8.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Spadek podłużny korony korpusu lub dna rowu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Spadek podłużny powierzchni korpusu ziemnego lub dna rowu, sprawdzony przez pomiar niwelatorem rzędnych wysokościowych, nie może dawać różnic, w stosunku do rzędnych projektowanych, większych niż -3 cm lub +1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6.3.9.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gruntu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normą PN-S-02205:1998 [4].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 Badania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 zastosowaniem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robotach ziemnych, Wykonawca powinien przedstawić Inżynierowi świadectwa stwierdzające, iż zastosowany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6" w:name="_Toc405615056"/>
      <w:bookmarkStart w:id="87" w:name="_Toc407161204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6.5. Zasady postępowania z wadliwie wykonanymi robotami</w:t>
      </w:r>
      <w:bookmarkEnd w:id="86"/>
      <w:bookmarkEnd w:id="8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roboty, które wykazują większe odchylenia cech od określonych w punktach 5 i 6 specyfikacji powinny być ponownie wykonane przez Wykonawcę na jego koszt.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pisemne wystąpienie Wykonawcy, Inżynier może uznać wadę za nie mającą zasadniczego wpływu na cechy eksploatacyjne drogi i ustali zakres i wielkość potrąceń za obniżoną jakość.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8" w:name="_Toc405615057"/>
      <w:bookmarkStart w:id="89" w:name="_Toc407161205"/>
      <w:bookmarkStart w:id="90" w:name="_Toc418996328"/>
      <w:bookmarkStart w:id="91" w:name="_Toc418996697"/>
      <w:bookmarkStart w:id="92" w:name="_Toc418997084"/>
      <w:bookmarkStart w:id="93" w:name="_Toc418998494"/>
      <w:bookmarkStart w:id="94" w:name="_Toc418998850"/>
      <w:bookmarkStart w:id="95" w:name="_Toc419000095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6" w:name="_Toc405615058"/>
      <w:bookmarkStart w:id="97" w:name="_Toc40716120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96"/>
      <w:bookmarkEnd w:id="9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8" w:name="_Toc405615059"/>
      <w:bookmarkStart w:id="99" w:name="_Toc40716120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Obmiar robót ziemnych</w:t>
      </w:r>
      <w:bookmarkEnd w:id="98"/>
      <w:bookmarkEnd w:id="9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Jednostka obmiarową jest 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sześcienny) wykonanych robót ziemnych.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0" w:name="_Toc405615060"/>
      <w:bookmarkStart w:id="101" w:name="_Toc407161208"/>
      <w:bookmarkStart w:id="102" w:name="_Toc418996329"/>
      <w:bookmarkStart w:id="103" w:name="_Toc418996698"/>
      <w:bookmarkStart w:id="104" w:name="_Toc418997085"/>
      <w:bookmarkStart w:id="105" w:name="_Toc418998495"/>
      <w:bookmarkStart w:id="106" w:name="_Toc418998851"/>
      <w:bookmarkStart w:id="107" w:name="_Toc419000096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ziemne uznaje się za wykonane zgodnie z dokumentacją projektową, SST i wymaganiami Inżyniera, jeżeli wszystkie pomiary i badania z zachowaniem tolerancji wg pkt 6 dały wyniki pozytywne.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8" w:name="_Toc405615061"/>
      <w:bookmarkStart w:id="109" w:name="_Toc407161209"/>
      <w:bookmarkStart w:id="110" w:name="_Toc418996330"/>
      <w:bookmarkStart w:id="111" w:name="_Toc418996699"/>
      <w:bookmarkStart w:id="112" w:name="_Toc418997086"/>
      <w:bookmarkStart w:id="113" w:name="_Toc418998496"/>
      <w:bookmarkStart w:id="114" w:name="_Toc418998852"/>
      <w:bookmarkStart w:id="115" w:name="_Toc419000097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Zakres czynności objętych ceną jednos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tkową podano w OST D-02.01.01,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D-02.02.01 oraz D-02.03.01 pkt 9.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6" w:name="_Toc405615062"/>
      <w:bookmarkStart w:id="117" w:name="_Toc407161210"/>
      <w:bookmarkStart w:id="118" w:name="_Toc418994924"/>
      <w:bookmarkStart w:id="119" w:name="_Toc418996331"/>
      <w:bookmarkStart w:id="120" w:name="_Toc418996700"/>
      <w:bookmarkStart w:id="121" w:name="_Toc418997087"/>
      <w:bookmarkStart w:id="122" w:name="_Toc418998497"/>
      <w:bookmarkStart w:id="123" w:name="_Toc418998853"/>
      <w:bookmarkStart w:id="124" w:name="_Toc419000098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5" w:name="_Toc405615063"/>
      <w:bookmarkStart w:id="126" w:name="_Toc40716121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  <w:bookmarkEnd w:id="125"/>
      <w:bookmarkEnd w:id="12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5277"/>
      </w:tblGrid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PN-B-02480:1986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Określenia. Symbole. Podział i opis gruntów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PN-B-04481:1988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gruntów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PN-B-04493:1960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Oznaczanie kapilarności biernej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PN-S-02205:1998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Roboty ziemne. Wymagania i badania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PN-ISO10318:1993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Geotekstylia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Terminologia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PN-EN-963:1999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Geotekstylia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wyroby pokrewne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BN-64/8931-01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wskaźnika piaskowego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modułu odkształcenia nawierzchni podatnych i podłoża przez obciążenie płytą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wskaźnika zagęszczenia gruntu</w:t>
            </w:r>
          </w:p>
        </w:tc>
      </w:tr>
    </w:tbl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7" w:name="_Toc405615064"/>
      <w:bookmarkStart w:id="128" w:name="_Toc40716121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  <w:bookmarkEnd w:id="127"/>
      <w:bookmarkEnd w:id="128"/>
    </w:p>
    <w:p w:rsidR="003D2B91" w:rsidRPr="003D2B91" w:rsidRDefault="003D2B91" w:rsidP="003D2B91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i odbiór robót ziemnych dla dróg szybkiego ruchu,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 1978.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Instrukcja badań podłoża gruntowego budowli drogowych i mostowych,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GDDP,Warszawa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1998.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Katalog typowych konstrukcji nawierzchni podatnych i półsztywnych,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1997.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Wytyczne wzmacniania podłoża gruntowego w budownictwie drogowym,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2002.</w:t>
      </w:r>
    </w:p>
    <w:p w:rsidR="0049664B" w:rsidRPr="004B6BA4" w:rsidRDefault="0049664B" w:rsidP="003D2B91">
      <w:pPr>
        <w:spacing w:after="120" w:line="240" w:lineRule="auto"/>
        <w:rPr>
          <w:rFonts w:ascii="Times New Roman" w:hAnsi="Times New Roman" w:cs="Times New Roman"/>
        </w:rPr>
      </w:pPr>
    </w:p>
    <w:sectPr w:rsidR="0049664B" w:rsidRPr="004B6BA4" w:rsidSect="00A654EF">
      <w:footerReference w:type="default" r:id="rId14"/>
      <w:pgSz w:w="11906" w:h="16838"/>
      <w:pgMar w:top="1417" w:right="1417" w:bottom="1417" w:left="1417" w:header="708" w:footer="14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EB" w:rsidRDefault="006648EB" w:rsidP="00B81364">
      <w:pPr>
        <w:spacing w:after="0" w:line="240" w:lineRule="auto"/>
      </w:pPr>
      <w:r>
        <w:separator/>
      </w:r>
    </w:p>
  </w:endnote>
  <w:endnote w:type="continuationSeparator" w:id="0">
    <w:p w:rsidR="006648EB" w:rsidRDefault="006648EB" w:rsidP="00B8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4506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54EF" w:rsidRDefault="00A654E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B81364" w:rsidRDefault="00B81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EB" w:rsidRDefault="006648EB" w:rsidP="00B81364">
      <w:pPr>
        <w:spacing w:after="0" w:line="240" w:lineRule="auto"/>
      </w:pPr>
      <w:r>
        <w:separator/>
      </w:r>
    </w:p>
  </w:footnote>
  <w:footnote w:type="continuationSeparator" w:id="0">
    <w:p w:rsidR="006648EB" w:rsidRDefault="006648EB" w:rsidP="00B8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CAE214"/>
    <w:lvl w:ilvl="0">
      <w:numFmt w:val="bullet"/>
      <w:lvlText w:val="*"/>
      <w:lvlJc w:val="left"/>
    </w:lvl>
  </w:abstractNum>
  <w:abstractNum w:abstractNumId="1">
    <w:nsid w:val="374D4E3A"/>
    <w:multiLevelType w:val="singleLevel"/>
    <w:tmpl w:val="9B52FFCC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">
    <w:nsid w:val="4F787C7A"/>
    <w:multiLevelType w:val="singleLevel"/>
    <w:tmpl w:val="B23A00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54187719"/>
    <w:multiLevelType w:val="singleLevel"/>
    <w:tmpl w:val="7AB27EFA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F42"/>
    <w:rsid w:val="00113AC8"/>
    <w:rsid w:val="0017466E"/>
    <w:rsid w:val="001867F8"/>
    <w:rsid w:val="002B6192"/>
    <w:rsid w:val="003D0B79"/>
    <w:rsid w:val="003D2B91"/>
    <w:rsid w:val="0049664B"/>
    <w:rsid w:val="004B1B5E"/>
    <w:rsid w:val="004B6BA4"/>
    <w:rsid w:val="006648EB"/>
    <w:rsid w:val="00906F42"/>
    <w:rsid w:val="00A03CF1"/>
    <w:rsid w:val="00A654EF"/>
    <w:rsid w:val="00B81364"/>
    <w:rsid w:val="00B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64B"/>
  </w:style>
  <w:style w:type="paragraph" w:styleId="Nagwek1">
    <w:name w:val="heading 1"/>
    <w:basedOn w:val="Normalny"/>
    <w:link w:val="Nagwek1Znak"/>
    <w:uiPriority w:val="9"/>
    <w:qFormat/>
    <w:rsid w:val="00906F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06F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06F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6F4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6F4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06F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06F42"/>
  </w:style>
  <w:style w:type="character" w:styleId="Hipercze">
    <w:name w:val="Hyperlink"/>
    <w:basedOn w:val="Domylnaczcionkaakapitu"/>
    <w:uiPriority w:val="99"/>
    <w:semiHidden/>
    <w:unhideWhenUsed/>
    <w:rsid w:val="00906F42"/>
    <w:rPr>
      <w:color w:val="0000FF"/>
      <w:u w:val="single"/>
    </w:rPr>
  </w:style>
  <w:style w:type="paragraph" w:customStyle="1" w:styleId="standardowytekst">
    <w:name w:val="standardowytekst"/>
    <w:basedOn w:val="Normalny"/>
    <w:rsid w:val="0090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iwony"/>
    <w:basedOn w:val="Normalny"/>
    <w:rsid w:val="0090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1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364"/>
  </w:style>
  <w:style w:type="paragraph" w:styleId="Stopka">
    <w:name w:val="footer"/>
    <w:basedOn w:val="Normalny"/>
    <w:link w:val="StopkaZnak"/>
    <w:uiPriority w:val="99"/>
    <w:unhideWhenUsed/>
    <w:rsid w:val="00B81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0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39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20568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376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055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2834</Words>
  <Characters>17007</Characters>
  <Application>Microsoft Office Word</Application>
  <DocSecurity>0</DocSecurity>
  <Lines>141</Lines>
  <Paragraphs>39</Paragraphs>
  <ScaleCrop>false</ScaleCrop>
  <Company/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8</cp:revision>
  <dcterms:created xsi:type="dcterms:W3CDTF">2017-01-27T06:00:00Z</dcterms:created>
  <dcterms:modified xsi:type="dcterms:W3CDTF">2019-04-27T13:40:00Z</dcterms:modified>
</cp:coreProperties>
</file>