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  <w:t>D – 08.01.01b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USTAWIENIE  KRAWĘŻNIKÓW  BETONOWYCH</w:t>
      </w:r>
    </w:p>
    <w:p w:rsidR="00DD02EE" w:rsidRDefault="00DD02EE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141496947"/>
    </w:p>
    <w:p w:rsidR="00DD02EE" w:rsidRDefault="00DD02EE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0"/>
      <w:bookmarkEnd w:id="1"/>
      <w:bookmarkEnd w:id="2"/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 w:rsidR="00D176D4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 specyfikacji technicznej (S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 z ustawieniem krawężników betonowych wraz z wykonaniem ław.</w:t>
      </w:r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020BA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Zakres robót objętych S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020BAA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Ustalenia zawarte w niniejszej specyfikacji dotyczą zasad prowadzenia robót związanych 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wykonaniem i odbiorem ustawienia krawężników betonowych typu ulicznego i </w:t>
      </w:r>
      <w:r w:rsidR="00020BA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oporników </w:t>
      </w:r>
      <w:proofErr w:type="spellStart"/>
      <w:r w:rsidR="00283DEF">
        <w:rPr>
          <w:rFonts w:ascii="Times New Roman" w:eastAsia="Times New Roman" w:hAnsi="Times New Roman" w:cs="Times New Roman"/>
          <w:sz w:val="20"/>
          <w:szCs w:val="20"/>
          <w:lang w:eastAsia="pl-PL"/>
        </w:rPr>
        <w:t>wibroprasowanych</w:t>
      </w:r>
      <w:proofErr w:type="spellEnd"/>
      <w:r w:rsidR="00283D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na ława</w:t>
      </w:r>
      <w:r w:rsidR="00020BAA">
        <w:rPr>
          <w:rFonts w:ascii="Times New Roman" w:eastAsia="Times New Roman" w:hAnsi="Times New Roman" w:cs="Times New Roman"/>
          <w:sz w:val="20"/>
          <w:szCs w:val="20"/>
          <w:lang w:eastAsia="pl-PL"/>
        </w:rPr>
        <w:t>ch betonowych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Określenia podstawowe</w:t>
      </w:r>
    </w:p>
    <w:p w:rsidR="00020BAA" w:rsidRDefault="00D176D4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.1. </w:t>
      </w:r>
      <w:r w:rsidR="005C6760"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Krawężnik betonowy – prefabrykat betonowy, przeznaczony do oddzielenia powierzchni znajdujących się na tym samym poziomie lub na różnych poziomach stosowany: </w:t>
      </w:r>
    </w:p>
    <w:p w:rsidR="00020BAA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w celu ograniczania lub wyznaczania granicy rzeczywistej lub wizualnej,            </w:t>
      </w:r>
    </w:p>
    <w:p w:rsidR="00020BAA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b) jako kanały odpływowe, oddzielnie lub w połączeniu z innymi krawężnikami, 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c) jako oddzielenie pomiędzy powierzchniami poddanymi różnym rodzajom ruchu drogowego.</w:t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5C6760" w:rsidRPr="005C6760" w:rsidRDefault="00D176D4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.2. </w:t>
      </w:r>
      <w:r w:rsidR="005C6760"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 nominalny – wymiar krawężnika określony w celu jego wykonania, któremu powinien odpowiadać wymiar rzeczywisty w określonych granicach dopuszczalnych odchyłek.</w:t>
      </w:r>
    </w:p>
    <w:p w:rsidR="005C6760" w:rsidRPr="005C6760" w:rsidRDefault="00D176D4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.3. </w:t>
      </w:r>
      <w:r w:rsidR="005C6760"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ogólne”[1] pkt 1.4.</w:t>
      </w:r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Ogólne wymagania dotyczące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[1] pkt 1.5.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" w:name="_2._MATERIAŁY_1"/>
      <w:bookmarkStart w:id="4" w:name="_Toc141072304"/>
      <w:bookmarkStart w:id="5" w:name="_Toc141496948"/>
      <w:bookmarkEnd w:id="3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 OST D-M-00.00.00 „Wymagania ogólne” pkt 2.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wykonania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materiałów z dokumentacją projektową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Materiały do wykonania robót powinny być zgodne z ustaleniami dokumentacji projektowej lub SST.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Stosowane materiały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ustawianiu krawężników na ławach można stosować następujące materiały: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krawężniki </w:t>
      </w:r>
      <w:r w:rsidR="00020BA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oporniki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betonowe,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na podsypkę i do zapraw,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 do podsypki i do zapraw,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wodę,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do wykonania ławy.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</w:t>
      </w: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2.2.3.1. Wymagania ogólne wobec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mogą mieć następujące cechy charakterystyczne:</w:t>
      </w:r>
    </w:p>
    <w:p w:rsidR="005C6760" w:rsidRPr="00283DEF" w:rsidRDefault="005C6760" w:rsidP="00283DE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 może być produkowany:</w:t>
      </w:r>
      <w:bookmarkStart w:id="6" w:name="_GoBack"/>
      <w:bookmarkEnd w:id="6"/>
      <w:r w:rsidRPr="00283DE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różnych betonów zastosowanych w warstwie konstrukcyjnej oraz w warstwie ścieralnej (która na całej powierzchni deklarowanej przez producenta jako powierzchnia widoczna powinna mieć minimalną grubość </w:t>
      </w:r>
      <w:smartTag w:uri="urn:schemas-microsoft-com:office:smarttags" w:element="metricconverter">
        <w:smartTagPr>
          <w:attr w:name="ProductID" w:val="4 mm"/>
        </w:smartTagPr>
        <w:r w:rsidRPr="00283DEF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283DEF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skośne krawędzie krawężnika powyżej </w:t>
      </w:r>
      <w:smartTag w:uri="urn:schemas-microsoft-com:office:smarttags" w:element="metricconverter">
        <w:smartTagPr>
          <w:attr w:name="ProductID" w:val="2 m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być określone jako fazowane, z wymiarami deklarowanymi przez producenta,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krawężnik może mieć profile funkcjonalne i/lub dekoracyjne (których nie uwzględnia się przy określaniu wymiarów nominalnych krawężnika); 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1000 mm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powierzchnia krawężnika może być obrabiana, poddana dodatkowej obróbce lub obróbce chemicznej,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płaszczyzny czołowe krawężników mogą być proste lub ukształtowane w sposób ułatwiający układanie lub ryglowanie (przykłady w zał. 1),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łukowe mogą być wykonane jako wypukłe lub wklęsłe (przykłady w zał. 2),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rozróżnia się dwa typy krawężników (przykłady w zał. 3):</w:t>
      </w:r>
    </w:p>
    <w:p w:rsidR="005C6760" w:rsidRPr="005C6760" w:rsidRDefault="005C6760" w:rsidP="005C6760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uliczne, do oddzielenia powierzchni znajdujących się na różnych poziomach (np. jezdni i chodnika),</w:t>
      </w:r>
    </w:p>
    <w:p w:rsidR="005C6760" w:rsidRPr="005C6760" w:rsidRDefault="005C6760" w:rsidP="005C6760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drogowe, do oddzielenia powierzchni znajdujących się na tym samym poziomie (np. jezdni i pobocza).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2.2.3.2. Wymagania techniczne wobec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techniczne stawiane krawężnikom betonowym określa PN-EN 1340 [5] w sposób przedstawiony w tablicy 1.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Wymagania wobec krawężnika betonowego, ustalone w</w:t>
      </w:r>
      <w:r w:rsidR="00D17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PN-EN 1340 [5]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do stosowania w warunkach kontaktu z solą odladzającą w warunkach mrozu</w:t>
      </w: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850"/>
        <w:gridCol w:w="723"/>
        <w:gridCol w:w="1404"/>
        <w:gridCol w:w="1842"/>
      </w:tblGrid>
      <w:tr w:rsidR="005C6760" w:rsidRPr="005C6760" w:rsidTr="005C6760">
        <w:tc>
          <w:tcPr>
            <w:tcW w:w="534" w:type="dxa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Cecha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Załącznik</w:t>
            </w:r>
          </w:p>
        </w:tc>
        <w:tc>
          <w:tcPr>
            <w:tcW w:w="3969" w:type="dxa"/>
            <w:gridSpan w:val="3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Wymagania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45" w:type="dxa"/>
            <w:gridSpan w:val="5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Kształt i wymiary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1.1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Wartości dopuszczalnych od-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chyłek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od wymiarów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nomi-nalnych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z dokładnością do milimetra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Długość: ± 1%, ≥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4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≤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10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Inne wymiary z wyjątkiem promienia: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dla powierzchni: ± 3%, ≥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3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≤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5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dla innych części: ± 5%, ≥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3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 ≤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10 mm</w:t>
              </w:r>
            </w:smartTag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Dopuszczalne odchyłki od płaskości i prostoliniowości, dla długości pomiarowej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3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300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4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400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5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500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8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800 mm</w:t>
              </w:r>
            </w:smartTag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,5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1,5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2,0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5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2,5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4,0 mm</w:t>
              </w:r>
            </w:smartTag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45" w:type="dxa"/>
            <w:gridSpan w:val="5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Właściwości fizyczne i mechaniczne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2.1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na zamrażanie/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rozmrażanie z udziałem soli odladzających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Ubytek masy po badaniu: wartość średnia ≤ 1,0 kg/m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przy czym każdy pojedynczy wynik &lt; 1,5 kg/m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Wytrzymałość na zginanie (Klasa wytrzymałości ustalona w dokumentacji projektowej lub przez Inżyniera)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Klasa          Charakterystyczna           Każdy pojedynczy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wytrz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        wytrzymałość,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MPa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wynik,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MPa</w:t>
            </w:r>
            <w:proofErr w:type="spellEnd"/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1                          3,5                                &gt; 2,8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2                          5,0                                &gt; 4,0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3                          6,0                                &gt; 4,8</w:t>
            </w:r>
          </w:p>
        </w:tc>
      </w:tr>
      <w:tr w:rsidR="005C6760" w:rsidRPr="005C6760" w:rsidTr="005C6760">
        <w:tc>
          <w:tcPr>
            <w:tcW w:w="534" w:type="dxa"/>
            <w:tcBorders>
              <w:bottom w:val="sing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Trwałość ze względu na wytrzymałość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Krawężniki mają zadawalającą  trwałość (wytrzymałość) jeśli spełnione są wymagania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pktu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2.2 oraz poddawane są normalnej konserwacji</w:t>
            </w:r>
          </w:p>
        </w:tc>
      </w:tr>
      <w:tr w:rsidR="005C6760" w:rsidRPr="005C6760" w:rsidTr="005C6760">
        <w:tc>
          <w:tcPr>
            <w:tcW w:w="534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2.4</w:t>
            </w:r>
          </w:p>
        </w:tc>
        <w:tc>
          <w:tcPr>
            <w:tcW w:w="2126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na ścieranie</w:t>
            </w:r>
          </w:p>
        </w:tc>
        <w:tc>
          <w:tcPr>
            <w:tcW w:w="850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 i H</w:t>
            </w:r>
          </w:p>
        </w:tc>
        <w:tc>
          <w:tcPr>
            <w:tcW w:w="723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46" w:type="dxa"/>
            <w:gridSpan w:val="2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przy pomiarze na tarczy</w:t>
            </w:r>
          </w:p>
        </w:tc>
      </w:tr>
      <w:tr w:rsidR="005C6760" w:rsidRPr="005C6760" w:rsidTr="005C6760">
        <w:tc>
          <w:tcPr>
            <w:tcW w:w="534" w:type="dxa"/>
            <w:tcBorders>
              <w:top w:val="nil"/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(Klasa odporności ustalona w dokumentacji projektowej lub przez Inżyniera)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Klasa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ności</w:t>
            </w:r>
            <w:proofErr w:type="spellEnd"/>
          </w:p>
        </w:tc>
        <w:tc>
          <w:tcPr>
            <w:tcW w:w="140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szerokiej ściernej, wg zał. G normy – badanie podstawowe</w:t>
            </w:r>
          </w:p>
        </w:tc>
        <w:tc>
          <w:tcPr>
            <w:tcW w:w="1842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Böhmego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zał. H normy – badanie alternatywne</w:t>
            </w:r>
          </w:p>
        </w:tc>
      </w:tr>
      <w:tr w:rsidR="005C6760" w:rsidRPr="005C6760" w:rsidTr="005C6760">
        <w:tc>
          <w:tcPr>
            <w:tcW w:w="534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określa się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3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23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20 mm</w:t>
              </w:r>
            </w:smartTag>
          </w:p>
        </w:tc>
        <w:tc>
          <w:tcPr>
            <w:tcW w:w="1842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określa się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20000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/5000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18000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/5000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2.5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na poślizg/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poślizgnięcie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jeśli górna powierzchnia krawężnika nie była szlifowana i/lub polerowana – zadawalająca odporność,</w:t>
            </w:r>
          </w:p>
          <w:p w:rsidR="005C6760" w:rsidRPr="005C6760" w:rsidRDefault="005C6760" w:rsidP="005C6760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jeśli wyjątkowo wymaga się podania wartości odporności na poślizg/poślizgnięcie – należy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zadekla-rować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minimalną jej wartość pomierzoną wg zał. I normy (wahadłowym przyrządem do badania tarcia),</w:t>
            </w:r>
          </w:p>
          <w:p w:rsidR="005C6760" w:rsidRPr="005C6760" w:rsidRDefault="005C6760" w:rsidP="005C6760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trwałość odporności na poślizg/poślizgnięcie w nor-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malnych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warunkach użytkowania krawężnika jest zada-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walająca przez cały okres użytkowania, pod warunkiem właściwego utrzymywania i gdy na znacznej części nie zostało odsłonięte kruszywo podlegające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intensyw-nemu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polerowaniu.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6945" w:type="dxa"/>
            <w:gridSpan w:val="5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Aspekty wizualne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Wygląd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powierzchnia krawężnika nie powinna mieć rys i odprysków,</w:t>
            </w:r>
          </w:p>
          <w:p w:rsidR="005C6760" w:rsidRPr="005C6760" w:rsidRDefault="005C6760" w:rsidP="005C6760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dopuszcza się rozwarstwień w krawężnikach dwuwarstwowych</w:t>
            </w:r>
          </w:p>
          <w:p w:rsidR="005C6760" w:rsidRPr="005C6760" w:rsidRDefault="005C6760" w:rsidP="005C6760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ewentualne wykwity nie są uważane za istotne</w:t>
            </w:r>
          </w:p>
        </w:tc>
      </w:tr>
    </w:tbl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850"/>
        <w:gridCol w:w="3969"/>
      </w:tblGrid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Tekstura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969" w:type="dxa"/>
          </w:tcPr>
          <w:p w:rsidR="005C6760" w:rsidRPr="005C6760" w:rsidRDefault="005C6760" w:rsidP="005C6760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krawężniki z powierzchnią o specjalnej teksturze – producent powinien określić rodzaj tekstury,</w:t>
            </w:r>
          </w:p>
          <w:p w:rsidR="005C6760" w:rsidRPr="005C6760" w:rsidRDefault="005C6760" w:rsidP="005C6760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tekstura powinna być porównana z próbkami dostarczonymi przez producenta, zatwierdzonymi przez odbiorcę,</w:t>
            </w:r>
          </w:p>
          <w:p w:rsidR="005C6760" w:rsidRPr="005C6760" w:rsidRDefault="005C6760" w:rsidP="005C6760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Zabarwienie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969" w:type="dxa"/>
          </w:tcPr>
          <w:p w:rsidR="005C6760" w:rsidRPr="005C6760" w:rsidRDefault="005C6760" w:rsidP="005C6760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barwiona może być warstwa ścieralna lub cały element,</w:t>
            </w:r>
          </w:p>
          <w:p w:rsidR="005C6760" w:rsidRPr="005C6760" w:rsidRDefault="005C6760" w:rsidP="005C6760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zabarwienie powinno być porównane z próbkami dostarczonymi przez producenta, zatwierdzonymi przez odbiorcę,</w:t>
            </w:r>
          </w:p>
          <w:p w:rsidR="005C6760" w:rsidRPr="005C6760" w:rsidRDefault="005C6760" w:rsidP="005C6760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zastosowań krawężników betonowych na powierzchniach innych niż przewidziano w tablicy 1 (np. przy nawierzchniach wewnętrznych, nie narażonych na kontakt z solą odladzającą), wymagania wobec krawężników należy odpowiednio dostosować do ustaleń PN-EN 1340 [5].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2.2.3.3. Składowanie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 mogą być przechowywane na składowiskach otwartych, posegregowane według typów, rodzajów, kształtów, cech fizycznych i mechanicznych, wielkości, wyglądu itp.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długości min.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większej od szerokości krawężnika.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2.2.4.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na podsypkę i do zapraw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dokumentacja projektowa lub SST nie ustala inaczej, to należy stosować następujące materiały: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a) na podsypkę piaskową</w:t>
      </w:r>
    </w:p>
    <w:p w:rsidR="005C6760" w:rsidRPr="005C6760" w:rsidRDefault="005C6760" w:rsidP="005C676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naturalny wg PN-B-11113 [10], odpowiadający wymaganiom dla gatunku 2 lub 3,</w:t>
      </w:r>
    </w:p>
    <w:p w:rsidR="005C6760" w:rsidRPr="005C6760" w:rsidRDefault="005C6760" w:rsidP="005C676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łamany (0,075÷2) mm, mieszankę drobną granulowaną (0,075÷4) mm albo miał (0÷4) mm, odpowiadający wymaganiom PN-B-11112 [9],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b) na podsypkę cementowo-piaskową i do zapraw</w:t>
      </w:r>
    </w:p>
    <w:p w:rsidR="005C6760" w:rsidRPr="005C6760" w:rsidRDefault="005C6760" w:rsidP="005C676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mieszankę cementu i piasku: z piasku naturalnego spełniającego wymagania dla gatunku 1 wg PN-B-11113 [10], cementu 32,5 spełniającego wymagania PN-EN 197-1 [3] i wody odmiany 1 odpowiadającej wymaganiom PN-88/B-32250 [11].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Przechowywanie cementu powinno być zgodne z BN-88/6731-08 [12].</w:t>
      </w:r>
    </w:p>
    <w:p w:rsidR="005C6760" w:rsidRPr="005C6760" w:rsidRDefault="005C6760" w:rsidP="005C6760">
      <w:pPr>
        <w:keepNext/>
        <w:numPr>
          <w:ilvl w:val="2"/>
          <w:numId w:val="9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na ławy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Do wykonania ław pod krawężnik należy stosować, dla:</w:t>
      </w:r>
    </w:p>
    <w:p w:rsidR="005C6760" w:rsidRPr="005C6760" w:rsidRDefault="005C6760" w:rsidP="005C6760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betonowej – beton klasy C12/15 lub C8/10 wg PN-EN 206-1 [4], a tymczasowo B15 i B10 wg PN-88/B-06250 [6],</w:t>
      </w:r>
    </w:p>
    <w:p w:rsidR="005C6760" w:rsidRPr="005C6760" w:rsidRDefault="005C6760" w:rsidP="005C6760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żwirowej – żwir odpowiadający wymaganiom PN-B-11111 [8],</w:t>
      </w:r>
    </w:p>
    <w:p w:rsidR="005C6760" w:rsidRPr="005C6760" w:rsidRDefault="005C6760" w:rsidP="005C6760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tłuczniowej – tłuczeń odpowiadający wymaganiom PN-B-11112 [9].</w:t>
      </w: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2.2.6.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Masa zalewowa w szczelinach ławy betonowej i spoinach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Masa zalewowa, do wypełniania szczelin dylatacyjnych, powinna odpowiadać wymaganiom OST D-05.03.04a [2].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3._SPRZĘT"/>
      <w:bookmarkStart w:id="8" w:name="_Toc428239274"/>
      <w:bookmarkStart w:id="9" w:name="_Toc428759423"/>
      <w:bookmarkStart w:id="10" w:name="_Toc141496949"/>
      <w:bookmarkEnd w:id="7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8"/>
      <w:bookmarkEnd w:id="9"/>
      <w:bookmarkEnd w:id="10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[1] pkt 3.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wykonuje się ręcznie przy zastosowaniu:</w:t>
      </w:r>
    </w:p>
    <w:p w:rsidR="005C6760" w:rsidRPr="005C6760" w:rsidRDefault="005C6760" w:rsidP="005C6760">
      <w:pPr>
        <w:numPr>
          <w:ilvl w:val="0"/>
          <w:numId w:val="11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betoniarek do wytwarzania betonu i zapraw oraz przygotowania podsypki cementowo-piaskowej,</w:t>
      </w:r>
    </w:p>
    <w:p w:rsidR="005C6760" w:rsidRPr="005C6760" w:rsidRDefault="005C6760" w:rsidP="005C6760">
      <w:pPr>
        <w:numPr>
          <w:ilvl w:val="0"/>
          <w:numId w:val="11"/>
        </w:numPr>
        <w:tabs>
          <w:tab w:val="right" w:leader="dot" w:pos="-198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wibratorów płytowych, ubijaków ręcznych lub mechanicznych.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4._TRANSPORT"/>
      <w:bookmarkStart w:id="12" w:name="_Toc428239275"/>
      <w:bookmarkStart w:id="13" w:name="_Toc428759424"/>
      <w:bookmarkStart w:id="14" w:name="_Toc141496950"/>
      <w:bookmarkEnd w:id="11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2"/>
      <w:bookmarkEnd w:id="13"/>
      <w:bookmarkEnd w:id="14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[1] pkt 4.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krawężników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 mogą być przewożone dowolnymi środkami transportowymi.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układać należy na środkach transportowych w pozycji pionowej z nachyleniem w kierunku jazdy.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pozostałych materiałów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powinien się odbywać w warunkach zgodnych z BN-88/6731-08 [12].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Masę zalewową należy pakować w bębny blaszane lub beczki. Transport powinien odbywać się w warunkach zabezpieczających przed uszkodzeniem bębnów i beczek.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5" w:name="_Toc141496951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5"/>
    </w:p>
    <w:p w:rsidR="005C6760" w:rsidRPr="005C6760" w:rsidRDefault="005C6760" w:rsidP="005C6760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5C6760" w:rsidRPr="005C6760" w:rsidRDefault="005C6760" w:rsidP="005C676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[1] pkt 5.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Zasady wykonywania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Sposób wykonania robót powinien być zgodny z dokumentacją projektową i SST. W przypadku braku wystarczających danych można korzystać z ustaleń podanych w niniejszej specyfikacji oraz z informacji podanych w załącznikach.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czynności przy wykonywaniu robót obejmują: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roboty przygotowawcze, 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ławy,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krawężników,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wypełnienie spoin,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wykończeniowe.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Roboty przygotowawcze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należy, na podstawie dokumentacji projektowej,  SST lub wskazań Inżyniera: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lokalizację robót,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dane niezbędne do szczegółowego wytyczenia robót oraz ustalenia danych wysokościowych,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usunąć przeszkody, np. słupki, pachołki, elementy dróg, ogrodzeń itd.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materiały niezbędne do wykonania robót,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określić kolejność, sposób i termin wykonania robót.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Wykonanie ławy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Koryto pod ławę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Wymiary wykopu, stanowiącego koryto pod ławę, powinny odpowiadać wymiarom ławy w planie z uwzględnieniem w szerokości dna wykopu ew. konstrukcji szalunku.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Wskaźnik zagęszczenia dna wykonanego koryta pod ławę powinien wynosić co najmniej 0,97 według normalnej metody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żwirowa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Ławę żwirową o wysokości do </w:t>
      </w:r>
      <w:smartTag w:uri="urn:schemas-microsoft-com:office:smarttags" w:element="metricconverter">
        <w:smartTagPr>
          <w:attr w:name="ProductID" w:val="10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wykonuje się jednowarstwowo przez zasypanie koryta żwirem i zagęszczenie go, polewając wodą.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wykonywać dwuwarstwowo, starannie zagęszczając poszczególne warstwy.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tłuczniowa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Ławę należy wykonywać przez zasypanie wykopu koryta tłuczniem.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Tłuczeń należy starannie ubić polewając wodą. Górną powierzchnię ławy tłuczniowej należy wyrównać klińcem i ostatecznie zagęścić.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ławę wykonać dwuwarstwowo, starannie zagęszczając poszczególne warstwy.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5.4.4.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betonowa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Ławę betonową zwykłą w gruntach spoistych wykonuje się bez szalowania, przy gruntach sypkich należy stosować szalowanie.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Ławę betonową z oporem wykonuje się w szalowaniu. Beton rozścielony w szalowaniu lub bezpośrednio w korycie powinien być wyrównywany warstwami. Betonowanie ław należy wykonywać zgodnie z wymaganiami PN-63/B-06251 [7], przy czym należy stosować co </w:t>
      </w:r>
      <w:smartTag w:uri="urn:schemas-microsoft-com:office:smarttags" w:element="metricconverter">
        <w:smartTagPr>
          <w:attr w:name="ProductID" w:val="5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szczeliny dylatacyjne wypełnione bitumiczną masą zalewową.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Przykłady ław betonowych zwykłych i ław z oporem podaje załącznik 4.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Ustawienie krawężników betonowych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Zasady ustawiania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16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Zewnętrzna ściana krawężnika od strony chodnika powinna być po ustawieniu krawężnika obsypana piaskiem, żwirem, tłuczniem lub miejscowym gruntem przepuszczalnym, starannie ubitym.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ławie żwirowej lub tłuczniowej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ławie betonowej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5.5.4.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Wypełnianie spoin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bitumiczną masą zalewową nad szczeliną dylatacyjną ławy.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Roboty wykończeniowe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wykończeniowe powinny być zgodne z dokumentacją projektową i SST. Do robót wykończeniowych należą prace związane z dostosowaniem wykonanych robót do istniejących warunków terenowych, takie jak: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odtworzenie elementów czasowo usuniętych, 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porządkujące otoczenie terenu robót.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424534470"/>
      <w:bookmarkStart w:id="17" w:name="_Toc46644001"/>
      <w:bookmarkStart w:id="18" w:name="_Toc51995834"/>
      <w:bookmarkStart w:id="19" w:name="_Toc70745916"/>
      <w:bookmarkStart w:id="20" w:name="_Toc113338102"/>
      <w:bookmarkStart w:id="21" w:name="_Toc120590626"/>
      <w:bookmarkStart w:id="22" w:name="_Toc141072308"/>
      <w:bookmarkStart w:id="23" w:name="_Toc141496952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[1] pkt 6.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5C6760" w:rsidRPr="005C6760" w:rsidRDefault="005C6760" w:rsidP="005C676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5C6760" w:rsidRPr="005C6760" w:rsidRDefault="005C6760" w:rsidP="005C676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ew. wykonać własne badania właściwości materiałów przeznaczonych do wykonania robót, określone w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(tablicy 1),</w:t>
      </w:r>
    </w:p>
    <w:p w:rsidR="005C6760" w:rsidRPr="005C6760" w:rsidRDefault="005C6760" w:rsidP="005C676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sprawdzić cechy zewnętrzne krawężników.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dokumenty oraz wyniki badań Wykonawca przedstawia Inżynierowi do akceptacji.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 [5].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Badania pozostałych materiałów stosowanych przy ustawianiu krawężników betonowych powinny obejmować właściwości, określone w normach podanych dla odpowiednich materiałów w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koryta pod ławę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sprawdzać wymiary koryta oraz zagęszczenie podłoża na dnie wykopu.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Tolerancja dla szerokości wykopu wynosi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Zagęszczenie podłoża powinno być zgodne z pkt 5.4.1.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ław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wykonywaniu ław badaniu podlegają: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a)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profilu podłużnego górnej powierzchni ław z dokumentacją projektową.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Profil podłużny górnej powierzchni ławy powinien być zgodny z projektowaną niweletą. Dopuszczalne odchylenia mogą wynosić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wymiary ław.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ławy. Tolerancje wymiarów wynoszą: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dla wysokości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 wysokości projektowanej,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dla szerokości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 szerokości projektowanej,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równość górnej powierzchni ław.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ław z kruszyw.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Ławy ze żwiru lub piasku nie mogą wykazywać śladu urządzenia zagęszczającego.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z tłucznia, badane próbą wyjęcia poszczególnych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tłucznia, nie powinny pozwalać na wyjęcie ziarna z ławy,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e)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odchylenie linii ław od projektowanego kierunku.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Dopuszczalne odchylenie linii ław od projektowanego kierunku nie może przekraczać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wykonanej ławy.</w:t>
      </w: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ustawienia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ustawianiu krawężników należy sprawdzać: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dopuszczalne odchylenia linii krawężników w poziomie od linii projektowanej, które wynosi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ustawionego krawężnika,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dopuszczalne odchylenie niwelety górnej płaszczyzny krawężnika od niwelety projektowanej, które wynosi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ustawionego krawężnika,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krawężnika, trzymetrowej łaty, przy czym prześwit pomiędzy górną powierzchnią krawężnika i przyłożoną łatą nie może przekraczać      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metrów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Spoiny muszą być wypełnione całkowicie na pełną głębokość.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4" w:name="_7._OBMIAR_ROBÓT"/>
      <w:bookmarkStart w:id="25" w:name="_Toc428169263"/>
      <w:bookmarkStart w:id="26" w:name="_Toc428323653"/>
      <w:bookmarkStart w:id="27" w:name="_Toc428759427"/>
      <w:bookmarkStart w:id="28" w:name="_Toc141072309"/>
      <w:bookmarkStart w:id="29" w:name="_Toc141496953"/>
      <w:bookmarkEnd w:id="24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25"/>
      <w:bookmarkEnd w:id="26"/>
      <w:bookmarkEnd w:id="27"/>
      <w:bookmarkEnd w:id="28"/>
      <w:bookmarkEnd w:id="29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[1] pkt 7.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DD02EE" w:rsidRPr="00DD02EE" w:rsidRDefault="005C6760" w:rsidP="00DD0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ustawionego krawężnika.</w:t>
      </w:r>
      <w:bookmarkStart w:id="30" w:name="_8._ODBIÓR_ROBÓT"/>
      <w:bookmarkStart w:id="31" w:name="_Toc428169264"/>
      <w:bookmarkStart w:id="32" w:name="_Toc428323654"/>
      <w:bookmarkStart w:id="33" w:name="_Toc428759428"/>
      <w:bookmarkStart w:id="34" w:name="_Toc141072310"/>
      <w:bookmarkStart w:id="35" w:name="_Toc141496954"/>
      <w:bookmarkEnd w:id="30"/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31"/>
      <w:bookmarkEnd w:id="32"/>
      <w:bookmarkEnd w:id="33"/>
      <w:bookmarkEnd w:id="34"/>
      <w:bookmarkEnd w:id="35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[1] pkt 8.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                   i wymaganiami Inżyniera, jeżeli wszystkie pomiary i badania z zachowaniem tolerancji wg pkt 6 dały wyniki pozytywne.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 pod ławę,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Odbiór tych robót powinien być zgodny z wymaganiami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="00D17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8.2 OST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D-M-00.00.00 „Wymagania ogólne” [1] oraz niniejszej OST.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6" w:name="_9._PODSTAWA_PŁATNOŚCI"/>
      <w:bookmarkStart w:id="37" w:name="_Toc428169265"/>
      <w:bookmarkStart w:id="38" w:name="_Toc428323655"/>
      <w:bookmarkStart w:id="39" w:name="_Toc428759429"/>
      <w:bookmarkStart w:id="40" w:name="_Toc141072311"/>
      <w:bookmarkStart w:id="41" w:name="_Toc141496955"/>
      <w:bookmarkEnd w:id="36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37"/>
      <w:bookmarkEnd w:id="38"/>
      <w:bookmarkEnd w:id="39"/>
      <w:bookmarkEnd w:id="40"/>
      <w:bookmarkEnd w:id="41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 „Wymagania ogólne” [1] pkt 9.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krawężnika obejmuje: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i sprzętu,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 pod ławę,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 z ewentualnym wykonaniem szalunku i zalaniem szczelin dylatacyjnych,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z wypełnieniem spoin i zalaniem szczelin według wymagań dokumentacji projektowej, SST i specyfikacji technicznej,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specyfikacji technicznej,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sprzętu.</w:t>
      </w:r>
    </w:p>
    <w:p w:rsidR="00D176D4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9.3. Sposób rozliczenia robót tymczasowych i prac towarzyszących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robót określonych niniejszą OST obejmuje: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prace towarzyszące, które są niezbędne do wykonania robót podstawowych, niezaliczane do robót tymczasowych, jak geodezyjne wytyczenie robót itd.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2" w:name="_Toc24955917"/>
      <w:bookmarkStart w:id="43" w:name="_Toc25041751"/>
      <w:bookmarkStart w:id="44" w:name="_Toc79371980"/>
      <w:bookmarkStart w:id="45" w:name="_Toc84648750"/>
      <w:bookmarkStart w:id="46" w:name="_Toc84822934"/>
      <w:bookmarkStart w:id="47" w:name="_Toc85259367"/>
      <w:bookmarkStart w:id="48" w:name="_Toc90274382"/>
      <w:bookmarkStart w:id="49" w:name="_Toc92608251"/>
      <w:bookmarkStart w:id="50" w:name="_Toc113935596"/>
      <w:bookmarkStart w:id="51" w:name="_Toc115670890"/>
      <w:bookmarkStart w:id="52" w:name="_Toc120590630"/>
      <w:bookmarkStart w:id="53" w:name="_Toc141072312"/>
      <w:bookmarkStart w:id="54" w:name="_Toc141496956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27"/>
        <w:gridCol w:w="4677"/>
      </w:tblGrid>
      <w:tr w:rsidR="005C6760" w:rsidRPr="005C6760" w:rsidTr="005C6760">
        <w:tc>
          <w:tcPr>
            <w:tcW w:w="63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5C6760" w:rsidRPr="005C6760" w:rsidTr="005C6760">
        <w:tc>
          <w:tcPr>
            <w:tcW w:w="63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D-05.03.04a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Wypełnianie szczelin w nawierzchni z betonu cementowego</w:t>
            </w:r>
          </w:p>
        </w:tc>
      </w:tr>
    </w:tbl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Normy</w:t>
      </w:r>
    </w:p>
    <w:tbl>
      <w:tblPr>
        <w:tblW w:w="7479" w:type="dxa"/>
        <w:tblLook w:val="01E0" w:firstRow="1" w:lastRow="1" w:firstColumn="1" w:lastColumn="1" w:noHBand="0" w:noVBand="0"/>
      </w:tblPr>
      <w:tblGrid>
        <w:gridCol w:w="675"/>
        <w:gridCol w:w="2127"/>
        <w:gridCol w:w="4677"/>
      </w:tblGrid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197-1:2002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Część 1: Skład, wymagania i kryteria zgodności dotyczące cementu powszechnego użytku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206-1:2003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Beton. Część 1: Wymagania, właściwości, produkcja i zgodność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PN-EN 1340:2004 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i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PN-EN 1340:2004/AC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Krawężniki betonowe. Wymagania i metody badań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PN-88/B-06250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PN-63/B-06251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betonowe i żelbetowe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PN-B-11111:1996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Żwir i mieszanka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PN-B-11112:1996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Kruszywo łamane do nawierzchni drogowych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PN-B-11113:1996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Piasek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PN-88/B-32250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</w:tbl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10.3. Inne dokumenty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5"/>
        <w:gridCol w:w="6804"/>
      </w:tblGrid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80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Katalog szczegółów drogowych ulic, placów i parków miejskich, Centrum Techniki Budownictwa Komunalnego, Warszawa 1987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C6760" w:rsidRPr="005C6760" w:rsidRDefault="00DD02EE" w:rsidP="00DD02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347AF" w:rsidRPr="005C6760" w:rsidRDefault="00B347AF" w:rsidP="005C6760">
      <w:pPr>
        <w:rPr>
          <w:szCs w:val="24"/>
        </w:rPr>
      </w:pPr>
    </w:p>
    <w:sectPr w:rsidR="00B347AF" w:rsidRPr="005C6760" w:rsidSect="00283DEF">
      <w:headerReference w:type="even" r:id="rId8"/>
      <w:footerReference w:type="default" r:id="rId9"/>
      <w:pgSz w:w="11907" w:h="16840" w:code="9"/>
      <w:pgMar w:top="1418" w:right="850" w:bottom="1560" w:left="2268" w:header="2268" w:footer="0" w:gutter="0"/>
      <w:pgNumType w:start="238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2AC" w:rsidRDefault="00C212AC" w:rsidP="005C6760">
      <w:pPr>
        <w:spacing w:after="0" w:line="240" w:lineRule="auto"/>
      </w:pPr>
      <w:r>
        <w:separator/>
      </w:r>
    </w:p>
  </w:endnote>
  <w:endnote w:type="continuationSeparator" w:id="0">
    <w:p w:rsidR="00C212AC" w:rsidRDefault="00C212AC" w:rsidP="005C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4827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DEF" w:rsidRDefault="00283DE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245</w:t>
        </w:r>
        <w:r>
          <w:rPr>
            <w:noProof/>
          </w:rPr>
          <w:fldChar w:fldCharType="end"/>
        </w:r>
      </w:p>
    </w:sdtContent>
  </w:sdt>
  <w:p w:rsidR="00057647" w:rsidRDefault="000576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2AC" w:rsidRDefault="00C212AC" w:rsidP="005C6760">
      <w:pPr>
        <w:spacing w:after="0" w:line="240" w:lineRule="auto"/>
      </w:pPr>
      <w:r>
        <w:separator/>
      </w:r>
    </w:p>
  </w:footnote>
  <w:footnote w:type="continuationSeparator" w:id="0">
    <w:p w:rsidR="00C212AC" w:rsidRDefault="00C212AC" w:rsidP="005C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760" w:rsidRDefault="005C6760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5C6760">
      <w:tc>
        <w:tcPr>
          <w:tcW w:w="921" w:type="dxa"/>
          <w:tcBorders>
            <w:bottom w:val="single" w:sz="6" w:space="0" w:color="auto"/>
          </w:tcBorders>
        </w:tcPr>
        <w:p w:rsidR="005C6760" w:rsidRDefault="00E6312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5C6760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5C6760">
            <w:rPr>
              <w:rStyle w:val="Numerstrony"/>
              <w:rFonts w:ascii="Times New Roman" w:hAnsi="Times New Roman"/>
              <w:noProof/>
              <w:sz w:val="20"/>
            </w:rPr>
            <w:t>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5C6760" w:rsidRDefault="005C676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Ustawienie krawężników betonowych</w:t>
          </w:r>
        </w:p>
      </w:tc>
      <w:tc>
        <w:tcPr>
          <w:tcW w:w="1769" w:type="dxa"/>
        </w:tcPr>
        <w:p w:rsidR="005C6760" w:rsidRDefault="005C676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D-08.01.01b</w:t>
          </w:r>
        </w:p>
      </w:tc>
    </w:tr>
  </w:tbl>
  <w:p w:rsidR="005C6760" w:rsidRDefault="005C6760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BAA674"/>
    <w:lvl w:ilvl="0">
      <w:numFmt w:val="bullet"/>
      <w:lvlText w:val="*"/>
      <w:lvlJc w:val="left"/>
    </w:lvl>
  </w:abstractNum>
  <w:abstractNum w:abstractNumId="1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12591"/>
    <w:multiLevelType w:val="multilevel"/>
    <w:tmpl w:val="D7F439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16"/>
  </w:num>
  <w:num w:numId="8">
    <w:abstractNumId w:val="12"/>
  </w:num>
  <w:num w:numId="9">
    <w:abstractNumId w:val="6"/>
  </w:num>
  <w:num w:numId="10">
    <w:abstractNumId w:val="7"/>
  </w:num>
  <w:num w:numId="11">
    <w:abstractNumId w:val="13"/>
  </w:num>
  <w:num w:numId="12">
    <w:abstractNumId w:val="9"/>
  </w:num>
  <w:num w:numId="13">
    <w:abstractNumId w:val="14"/>
  </w:num>
  <w:num w:numId="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5">
    <w:abstractNumId w:val="15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7AF"/>
    <w:rsid w:val="00020BAA"/>
    <w:rsid w:val="00057647"/>
    <w:rsid w:val="000A45AB"/>
    <w:rsid w:val="00233DEA"/>
    <w:rsid w:val="00283DEF"/>
    <w:rsid w:val="002F4691"/>
    <w:rsid w:val="00340376"/>
    <w:rsid w:val="004E571A"/>
    <w:rsid w:val="0050619B"/>
    <w:rsid w:val="0051530A"/>
    <w:rsid w:val="0055147A"/>
    <w:rsid w:val="005C6760"/>
    <w:rsid w:val="0067442A"/>
    <w:rsid w:val="006D400B"/>
    <w:rsid w:val="007815C6"/>
    <w:rsid w:val="00860A5B"/>
    <w:rsid w:val="00942FF8"/>
    <w:rsid w:val="009F6995"/>
    <w:rsid w:val="00B347AF"/>
    <w:rsid w:val="00C212AC"/>
    <w:rsid w:val="00D176D4"/>
    <w:rsid w:val="00D2367D"/>
    <w:rsid w:val="00D31D7C"/>
    <w:rsid w:val="00DD02EE"/>
    <w:rsid w:val="00DF3082"/>
    <w:rsid w:val="00E23308"/>
    <w:rsid w:val="00E63124"/>
    <w:rsid w:val="00E741A2"/>
    <w:rsid w:val="00E90214"/>
    <w:rsid w:val="00EC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214"/>
  </w:style>
  <w:style w:type="paragraph" w:styleId="Nagwek1">
    <w:name w:val="heading 1"/>
    <w:basedOn w:val="Normalny"/>
    <w:link w:val="Nagwek1Znak"/>
    <w:uiPriority w:val="9"/>
    <w:qFormat/>
    <w:rsid w:val="00B347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347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7A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7A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B347AF"/>
  </w:style>
  <w:style w:type="character" w:styleId="Hipercze">
    <w:name w:val="Hyperlink"/>
    <w:basedOn w:val="Domylnaczcionkaakapitu"/>
    <w:uiPriority w:val="99"/>
    <w:semiHidden/>
    <w:unhideWhenUsed/>
    <w:rsid w:val="00B347AF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E2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23308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C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760"/>
  </w:style>
  <w:style w:type="character" w:styleId="Numerstrony">
    <w:name w:val="page number"/>
    <w:basedOn w:val="Domylnaczcionkaakapitu"/>
    <w:rsid w:val="005C6760"/>
  </w:style>
  <w:style w:type="paragraph" w:styleId="Tekstdymka">
    <w:name w:val="Balloon Text"/>
    <w:basedOn w:val="Normalny"/>
    <w:link w:val="TekstdymkaZnak"/>
    <w:uiPriority w:val="99"/>
    <w:semiHidden/>
    <w:unhideWhenUsed/>
    <w:rsid w:val="005C6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76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C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04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0898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3397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70605889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3027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14</cp:revision>
  <dcterms:created xsi:type="dcterms:W3CDTF">2017-01-28T19:54:00Z</dcterms:created>
  <dcterms:modified xsi:type="dcterms:W3CDTF">2019-04-27T17:05:00Z</dcterms:modified>
</cp:coreProperties>
</file>